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A60D34" w14:textId="77777777" w:rsidR="002C4F31" w:rsidRPr="002C4F31" w:rsidRDefault="002C4F31" w:rsidP="002C4F31">
      <w:pPr>
        <w:tabs>
          <w:tab w:val="left" w:pos="3690"/>
        </w:tabs>
        <w:spacing w:after="0" w:line="240" w:lineRule="auto"/>
        <w:jc w:val="center"/>
        <w:rPr>
          <w:rFonts w:ascii="Calibri" w:eastAsia="Times New Roman" w:hAnsi="Calibri" w:cs="Calibri"/>
          <w:b/>
          <w:color w:val="000000" w:themeColor="text1"/>
          <w:sz w:val="28"/>
          <w:szCs w:val="24"/>
        </w:rPr>
      </w:pPr>
      <w:bookmarkStart w:id="0" w:name="_Hlk32840292"/>
      <w:bookmarkEnd w:id="0"/>
      <w:r w:rsidRPr="002C4F31">
        <w:rPr>
          <w:rFonts w:ascii="Calibri" w:eastAsia="Times New Roman" w:hAnsi="Calibri" w:cs="Calibri"/>
          <w:b/>
          <w:color w:val="000000" w:themeColor="text1"/>
          <w:sz w:val="28"/>
          <w:szCs w:val="24"/>
        </w:rPr>
        <w:t>Georgia Power Company</w:t>
      </w:r>
    </w:p>
    <w:p w14:paraId="08552B15" w14:textId="77777777" w:rsidR="002C4F31" w:rsidRPr="002C4F31" w:rsidRDefault="002C4F31" w:rsidP="002C4F31">
      <w:pPr>
        <w:spacing w:after="0" w:line="240" w:lineRule="auto"/>
        <w:jc w:val="center"/>
        <w:rPr>
          <w:rFonts w:ascii="Calibri" w:eastAsia="Times New Roman" w:hAnsi="Calibri" w:cs="Calibri"/>
          <w:b/>
          <w:color w:val="000000" w:themeColor="text1"/>
          <w:sz w:val="28"/>
          <w:szCs w:val="24"/>
        </w:rPr>
      </w:pPr>
      <w:r w:rsidRPr="002C4F31">
        <w:rPr>
          <w:rFonts w:ascii="Calibri" w:eastAsia="Times New Roman" w:hAnsi="Calibri" w:cs="Calibri"/>
          <w:b/>
          <w:color w:val="000000" w:themeColor="text1"/>
          <w:sz w:val="28"/>
          <w:szCs w:val="24"/>
        </w:rPr>
        <w:t>Certified Demand-Side Management Programs</w:t>
      </w:r>
    </w:p>
    <w:p w14:paraId="46627808" w14:textId="0694766A" w:rsidR="002C4F31" w:rsidRPr="002C4F31" w:rsidRDefault="002C4F31" w:rsidP="002C4F31">
      <w:pPr>
        <w:keepNext/>
        <w:spacing w:after="0" w:line="240" w:lineRule="auto"/>
        <w:jc w:val="center"/>
        <w:outlineLvl w:val="0"/>
        <w:rPr>
          <w:rFonts w:ascii="Calibri" w:eastAsia="Times New Roman" w:hAnsi="Calibri" w:cs="Calibri"/>
          <w:b/>
          <w:color w:val="000000" w:themeColor="text1"/>
          <w:sz w:val="28"/>
          <w:szCs w:val="24"/>
        </w:rPr>
      </w:pPr>
      <w:r w:rsidRPr="002C4F31">
        <w:rPr>
          <w:rFonts w:ascii="Calibri" w:eastAsia="Times New Roman" w:hAnsi="Calibri" w:cs="Calibri"/>
          <w:b/>
          <w:color w:val="000000" w:themeColor="text1"/>
          <w:sz w:val="28"/>
          <w:szCs w:val="24"/>
        </w:rPr>
        <w:t>Q</w:t>
      </w:r>
      <w:r w:rsidR="00F77FF4">
        <w:rPr>
          <w:rFonts w:ascii="Calibri" w:eastAsia="Times New Roman" w:hAnsi="Calibri" w:cs="Calibri"/>
          <w:b/>
          <w:color w:val="000000" w:themeColor="text1"/>
          <w:sz w:val="28"/>
          <w:szCs w:val="24"/>
        </w:rPr>
        <w:t>4</w:t>
      </w:r>
      <w:r w:rsidRPr="002C4F31">
        <w:rPr>
          <w:rFonts w:ascii="Calibri" w:eastAsia="Times New Roman" w:hAnsi="Calibri" w:cs="Calibri"/>
          <w:b/>
          <w:color w:val="000000" w:themeColor="text1"/>
          <w:sz w:val="28"/>
          <w:szCs w:val="24"/>
        </w:rPr>
        <w:t xml:space="preserve"> 2020 Programs Status Report </w:t>
      </w:r>
    </w:p>
    <w:p w14:paraId="4AA3959C" w14:textId="77777777" w:rsidR="002C4F31" w:rsidRPr="002C4F31" w:rsidRDefault="002C4F31" w:rsidP="002C4F31">
      <w:pPr>
        <w:spacing w:after="0" w:line="240" w:lineRule="auto"/>
        <w:jc w:val="both"/>
        <w:rPr>
          <w:rFonts w:ascii="Calibri" w:eastAsia="Times New Roman" w:hAnsi="Calibri" w:cs="Calibri"/>
          <w:b/>
          <w:bCs/>
          <w:color w:val="000000" w:themeColor="text1"/>
          <w:sz w:val="24"/>
          <w:szCs w:val="24"/>
        </w:rPr>
      </w:pPr>
    </w:p>
    <w:p w14:paraId="00AF5F30" w14:textId="0415D23A" w:rsidR="002C4F31" w:rsidRPr="002C4F31" w:rsidRDefault="002C4F31" w:rsidP="002C4F31">
      <w:pPr>
        <w:spacing w:after="0" w:line="240" w:lineRule="auto"/>
        <w:jc w:val="both"/>
        <w:rPr>
          <w:rFonts w:ascii="Calibri" w:eastAsia="Times New Roman" w:hAnsi="Calibri" w:cs="Calibri"/>
          <w:color w:val="000000" w:themeColor="text1"/>
          <w:sz w:val="24"/>
          <w:szCs w:val="24"/>
        </w:rPr>
      </w:pPr>
      <w:r w:rsidRPr="002C4F31">
        <w:rPr>
          <w:rFonts w:ascii="Calibri" w:eastAsia="Times New Roman" w:hAnsi="Calibri" w:cs="Calibri"/>
          <w:color w:val="000000" w:themeColor="text1"/>
          <w:sz w:val="24"/>
          <w:szCs w:val="24"/>
        </w:rPr>
        <w:t xml:space="preserve">In accordance with the Georgia Public Service Commission’s (“Commission”) Final Order of Docket No. 42311, signed June 6, 2019, Georgia Power Company (“Georgia Power” or the “Company”) provides this </w:t>
      </w:r>
      <w:r w:rsidR="00F77FF4">
        <w:rPr>
          <w:rFonts w:ascii="Calibri" w:eastAsia="Times New Roman" w:hAnsi="Calibri" w:cs="Calibri"/>
          <w:color w:val="000000" w:themeColor="text1"/>
          <w:sz w:val="24"/>
          <w:szCs w:val="24"/>
        </w:rPr>
        <w:t>fourth</w:t>
      </w:r>
      <w:r w:rsidRPr="002C4F31">
        <w:rPr>
          <w:rFonts w:ascii="Calibri" w:eastAsia="Times New Roman" w:hAnsi="Calibri" w:cs="Calibri"/>
          <w:color w:val="000000" w:themeColor="text1"/>
          <w:sz w:val="24"/>
          <w:szCs w:val="24"/>
        </w:rPr>
        <w:t xml:space="preserve"> quarterly report for activity through </w:t>
      </w:r>
      <w:r w:rsidR="00F77FF4">
        <w:rPr>
          <w:rFonts w:ascii="Calibri" w:eastAsia="Times New Roman" w:hAnsi="Calibri" w:cs="Calibri"/>
          <w:color w:val="000000" w:themeColor="text1"/>
          <w:sz w:val="24"/>
          <w:szCs w:val="24"/>
        </w:rPr>
        <w:t>December</w:t>
      </w:r>
      <w:r w:rsidRPr="002C4F31">
        <w:rPr>
          <w:rFonts w:ascii="Calibri" w:eastAsia="Times New Roman" w:hAnsi="Calibri" w:cs="Calibri"/>
          <w:color w:val="000000" w:themeColor="text1"/>
          <w:sz w:val="24"/>
          <w:szCs w:val="24"/>
        </w:rPr>
        <w:t xml:space="preserve"> 3</w:t>
      </w:r>
      <w:r w:rsidR="00F77FF4">
        <w:rPr>
          <w:rFonts w:ascii="Calibri" w:eastAsia="Times New Roman" w:hAnsi="Calibri" w:cs="Calibri"/>
          <w:color w:val="000000" w:themeColor="text1"/>
          <w:sz w:val="24"/>
          <w:szCs w:val="24"/>
        </w:rPr>
        <w:t>1</w:t>
      </w:r>
      <w:r w:rsidRPr="002C4F31">
        <w:rPr>
          <w:rFonts w:ascii="Calibri" w:eastAsia="Times New Roman" w:hAnsi="Calibri" w:cs="Calibri"/>
          <w:color w:val="000000" w:themeColor="text1"/>
          <w:sz w:val="24"/>
          <w:szCs w:val="24"/>
        </w:rPr>
        <w:t>, 2020.</w:t>
      </w:r>
    </w:p>
    <w:p w14:paraId="0BACC290" w14:textId="7EC222CC" w:rsidR="002C4F31" w:rsidRPr="002C4F31" w:rsidRDefault="002C4F31" w:rsidP="002C4F31">
      <w:pPr>
        <w:spacing w:after="0" w:line="240" w:lineRule="auto"/>
        <w:rPr>
          <w:rFonts w:ascii="Calibri" w:hAnsi="Calibri" w:cs="Calibri"/>
          <w:b/>
          <w:bCs/>
          <w:sz w:val="28"/>
          <w:szCs w:val="28"/>
        </w:rPr>
      </w:pPr>
    </w:p>
    <w:p w14:paraId="69360AF1" w14:textId="001D6409" w:rsidR="00C96139" w:rsidRDefault="2B5CFA31" w:rsidP="002C4F31">
      <w:pPr>
        <w:spacing w:after="0" w:line="240" w:lineRule="auto"/>
        <w:rPr>
          <w:rFonts w:ascii="Calibri" w:hAnsi="Calibri" w:cs="Calibri"/>
          <w:b/>
          <w:bCs/>
          <w:sz w:val="28"/>
          <w:szCs w:val="28"/>
        </w:rPr>
      </w:pPr>
      <w:r w:rsidRPr="17F030E5">
        <w:rPr>
          <w:rStyle w:val="CommentReference"/>
        </w:rPr>
        <w:t xml:space="preserve"> </w:t>
      </w:r>
      <w:r w:rsidR="00387A0C" w:rsidRPr="00387A0C">
        <w:rPr>
          <w:rStyle w:val="CommentReference"/>
          <w:noProof/>
          <w:sz w:val="22"/>
          <w:szCs w:val="22"/>
        </w:rPr>
        <w:drawing>
          <wp:inline distT="0" distB="0" distL="0" distR="0" wp14:anchorId="1667433F" wp14:editId="30C7E809">
            <wp:extent cx="6858000" cy="29546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858000" cy="2954655"/>
                    </a:xfrm>
                    <a:prstGeom prst="rect">
                      <a:avLst/>
                    </a:prstGeom>
                    <a:noFill/>
                    <a:ln>
                      <a:noFill/>
                    </a:ln>
                  </pic:spPr>
                </pic:pic>
              </a:graphicData>
            </a:graphic>
          </wp:inline>
        </w:drawing>
      </w:r>
    </w:p>
    <w:p w14:paraId="20AD48BB" w14:textId="77777777" w:rsidR="00424C78" w:rsidRDefault="00424C78" w:rsidP="002C4F31">
      <w:pPr>
        <w:spacing w:after="0" w:line="240" w:lineRule="auto"/>
        <w:rPr>
          <w:rFonts w:ascii="Calibri" w:hAnsi="Calibri" w:cs="Calibri"/>
          <w:b/>
          <w:bCs/>
          <w:sz w:val="28"/>
          <w:szCs w:val="28"/>
        </w:rPr>
      </w:pPr>
    </w:p>
    <w:p w14:paraId="565770DE" w14:textId="77777777" w:rsidR="0016530F" w:rsidRDefault="0016530F" w:rsidP="002C4F31">
      <w:pPr>
        <w:spacing w:after="0" w:line="240" w:lineRule="auto"/>
        <w:rPr>
          <w:rFonts w:ascii="Calibri" w:hAnsi="Calibri" w:cs="Calibri"/>
          <w:b/>
          <w:bCs/>
          <w:sz w:val="28"/>
          <w:szCs w:val="28"/>
        </w:rPr>
      </w:pPr>
    </w:p>
    <w:p w14:paraId="7DB0BEF0" w14:textId="2A569323" w:rsidR="002C4F31" w:rsidRPr="002C4F31" w:rsidRDefault="002C4F31" w:rsidP="002C4F31">
      <w:pPr>
        <w:spacing w:after="0" w:line="240" w:lineRule="auto"/>
        <w:rPr>
          <w:rFonts w:ascii="Calibri" w:hAnsi="Calibri" w:cs="Calibri"/>
          <w:b/>
          <w:bCs/>
          <w:sz w:val="28"/>
          <w:szCs w:val="28"/>
        </w:rPr>
      </w:pPr>
      <w:r w:rsidRPr="002C4F31">
        <w:rPr>
          <w:rFonts w:ascii="Calibri" w:hAnsi="Calibri" w:cs="Calibri"/>
          <w:b/>
          <w:bCs/>
          <w:sz w:val="28"/>
          <w:szCs w:val="28"/>
        </w:rPr>
        <w:t>Residential Programs</w:t>
      </w:r>
    </w:p>
    <w:p w14:paraId="0099F8F9" w14:textId="77777777" w:rsidR="002C4F31" w:rsidRPr="002C4F31" w:rsidRDefault="002C4F31" w:rsidP="002C4F31">
      <w:pPr>
        <w:spacing w:after="0" w:line="240" w:lineRule="auto"/>
        <w:rPr>
          <w:rFonts w:ascii="Calibri" w:hAnsi="Calibri" w:cs="Calibri"/>
          <w:bCs/>
          <w:sz w:val="24"/>
        </w:rPr>
      </w:pPr>
    </w:p>
    <w:p w14:paraId="2DF11EA2" w14:textId="30536007" w:rsidR="002C4F31" w:rsidRPr="002C4F31" w:rsidRDefault="002C4F31" w:rsidP="002C4F31">
      <w:pPr>
        <w:spacing w:after="0" w:line="240" w:lineRule="auto"/>
        <w:rPr>
          <w:rFonts w:ascii="Calibri" w:hAnsi="Calibri" w:cs="Calibri"/>
          <w:sz w:val="24"/>
          <w:szCs w:val="24"/>
        </w:rPr>
      </w:pPr>
      <w:bookmarkStart w:id="1" w:name="_Hlk39084404"/>
      <w:r w:rsidRPr="69F8FF7F">
        <w:rPr>
          <w:rFonts w:ascii="Calibri" w:hAnsi="Calibri" w:cs="Calibri"/>
          <w:b/>
          <w:sz w:val="24"/>
          <w:szCs w:val="24"/>
        </w:rPr>
        <w:t>Behavioral Program</w:t>
      </w:r>
      <w:r w:rsidRPr="69F8FF7F">
        <w:rPr>
          <w:rFonts w:ascii="Calibri" w:hAnsi="Calibri" w:cs="Calibri"/>
          <w:sz w:val="24"/>
          <w:szCs w:val="24"/>
        </w:rPr>
        <w:t xml:space="preserve">: The Residential Behavioral Program is designed to encourage customer engagement with home energy management and energy efficiency </w:t>
      </w:r>
      <w:proofErr w:type="gramStart"/>
      <w:r w:rsidRPr="69F8FF7F">
        <w:rPr>
          <w:rFonts w:ascii="Calibri" w:hAnsi="Calibri" w:cs="Calibri"/>
          <w:sz w:val="24"/>
          <w:szCs w:val="24"/>
        </w:rPr>
        <w:t>in order to</w:t>
      </w:r>
      <w:proofErr w:type="gramEnd"/>
      <w:r w:rsidRPr="69F8FF7F">
        <w:rPr>
          <w:rFonts w:ascii="Calibri" w:hAnsi="Calibri" w:cs="Calibri"/>
          <w:sz w:val="24"/>
          <w:szCs w:val="24"/>
        </w:rPr>
        <w:t xml:space="preserve"> reduce energy consumption. The program provides customer-specific information that allows customers to compare their energy use for the month, as well as the past year, to the consumption of a peer group of similar homes and ones that are considered energy-efficient. Participating customers receive </w:t>
      </w:r>
      <w:r w:rsidR="6B6CC3CE" w:rsidRPr="005B3F13">
        <w:rPr>
          <w:rFonts w:ascii="Calibri" w:eastAsia="Calibri" w:hAnsi="Calibri" w:cs="Calibri"/>
          <w:sz w:val="24"/>
          <w:szCs w:val="24"/>
        </w:rPr>
        <w:t xml:space="preserve">a combination of both </w:t>
      </w:r>
      <w:r w:rsidR="00ED0A73">
        <w:rPr>
          <w:rFonts w:ascii="Calibri" w:eastAsia="Calibri" w:hAnsi="Calibri" w:cs="Calibri"/>
          <w:sz w:val="24"/>
          <w:szCs w:val="24"/>
        </w:rPr>
        <w:t xml:space="preserve">a </w:t>
      </w:r>
      <w:r w:rsidR="6B6CC3CE" w:rsidRPr="005B3F13">
        <w:rPr>
          <w:rFonts w:ascii="Calibri" w:eastAsia="Calibri" w:hAnsi="Calibri" w:cs="Calibri"/>
          <w:sz w:val="24"/>
          <w:szCs w:val="24"/>
        </w:rPr>
        <w:t>paper and</w:t>
      </w:r>
      <w:r w:rsidR="00025632">
        <w:rPr>
          <w:rFonts w:ascii="Calibri" w:eastAsia="Calibri" w:hAnsi="Calibri" w:cs="Calibri"/>
          <w:sz w:val="24"/>
          <w:szCs w:val="24"/>
        </w:rPr>
        <w:t xml:space="preserve"> an</w:t>
      </w:r>
      <w:r w:rsidRPr="69F8FF7F">
        <w:rPr>
          <w:rFonts w:ascii="Calibri" w:hAnsi="Calibri" w:cs="Calibri"/>
          <w:sz w:val="24"/>
          <w:szCs w:val="24"/>
        </w:rPr>
        <w:t xml:space="preserve"> electronic Home Electric Report (“HER”) several times a year with a summary of their energy consumption data and consumption over the same </w:t>
      </w:r>
      <w:proofErr w:type="gramStart"/>
      <w:r w:rsidRPr="69F8FF7F">
        <w:rPr>
          <w:rFonts w:ascii="Calibri" w:hAnsi="Calibri" w:cs="Calibri"/>
          <w:sz w:val="24"/>
          <w:szCs w:val="24"/>
        </w:rPr>
        <w:t>time period</w:t>
      </w:r>
      <w:proofErr w:type="gramEnd"/>
      <w:r w:rsidRPr="69F8FF7F">
        <w:rPr>
          <w:rFonts w:ascii="Calibri" w:hAnsi="Calibri" w:cs="Calibri"/>
          <w:sz w:val="24"/>
          <w:szCs w:val="24"/>
        </w:rPr>
        <w:t xml:space="preserve"> by their peers. The reports also include seasonal and household-appropriate energy savings tips, as well as information on energy efficiency programs.  </w:t>
      </w:r>
    </w:p>
    <w:bookmarkEnd w:id="1"/>
    <w:p w14:paraId="1630ECD8" w14:textId="77777777" w:rsidR="002C4F31" w:rsidRPr="002C4F31" w:rsidRDefault="002C4F31" w:rsidP="002C4F31">
      <w:pPr>
        <w:spacing w:after="0" w:line="240" w:lineRule="auto"/>
        <w:rPr>
          <w:rFonts w:ascii="Calibri" w:hAnsi="Calibri" w:cs="Calibri"/>
          <w:b/>
          <w:sz w:val="24"/>
        </w:rPr>
      </w:pPr>
    </w:p>
    <w:p w14:paraId="6DFADE17" w14:textId="77777777" w:rsidR="002C4F31" w:rsidRPr="002C4F31" w:rsidRDefault="002C4F31" w:rsidP="002C4F31">
      <w:pPr>
        <w:spacing w:after="0" w:line="240" w:lineRule="auto"/>
        <w:rPr>
          <w:rFonts w:ascii="Calibri" w:hAnsi="Calibri" w:cs="Calibri"/>
          <w:bCs/>
          <w:sz w:val="24"/>
        </w:rPr>
      </w:pPr>
      <w:r w:rsidRPr="002C4F31">
        <w:rPr>
          <w:rFonts w:ascii="Calibri" w:hAnsi="Calibri" w:cs="Calibri"/>
          <w:b/>
          <w:sz w:val="24"/>
        </w:rPr>
        <w:t>Specialty Lighting Program</w:t>
      </w:r>
      <w:r w:rsidRPr="002C4F31">
        <w:rPr>
          <w:rFonts w:ascii="Calibri" w:hAnsi="Calibri" w:cs="Calibri"/>
          <w:bCs/>
          <w:sz w:val="24"/>
        </w:rPr>
        <w:t xml:space="preserve">: The Residential Specialty Lighting Program promotes the purchase and installation of energy-efficient lighting products by Georgia Power residential customers. The program focuses on increasing customer awareness of the benefits of energy-efficient lighting technologies for their home through customer education, retail partnerships, and sales staff training. </w:t>
      </w:r>
    </w:p>
    <w:p w14:paraId="4C2702B7" w14:textId="77777777" w:rsidR="002C4F31" w:rsidRPr="002C4F31" w:rsidRDefault="002C4F31" w:rsidP="002C4F31">
      <w:pPr>
        <w:spacing w:after="0" w:line="240" w:lineRule="auto"/>
        <w:rPr>
          <w:rFonts w:ascii="Calibri" w:hAnsi="Calibri" w:cs="Calibri"/>
          <w:sz w:val="24"/>
        </w:rPr>
      </w:pPr>
    </w:p>
    <w:p w14:paraId="77EF2D95" w14:textId="77777777" w:rsidR="00707AB8" w:rsidRDefault="00707AB8">
      <w:pPr>
        <w:rPr>
          <w:rFonts w:ascii="Calibri" w:hAnsi="Calibri" w:cs="Calibri"/>
          <w:b/>
          <w:sz w:val="24"/>
          <w:szCs w:val="24"/>
        </w:rPr>
      </w:pPr>
      <w:r>
        <w:rPr>
          <w:rFonts w:ascii="Calibri" w:hAnsi="Calibri" w:cs="Calibri"/>
          <w:b/>
          <w:sz w:val="24"/>
          <w:szCs w:val="24"/>
        </w:rPr>
        <w:br w:type="page"/>
      </w:r>
    </w:p>
    <w:p w14:paraId="0FA00D5C" w14:textId="5A0BD338" w:rsidR="002C4F31" w:rsidRPr="002C4F31" w:rsidRDefault="002C4F31" w:rsidP="002C4F31">
      <w:pPr>
        <w:spacing w:after="0" w:line="240" w:lineRule="auto"/>
        <w:rPr>
          <w:rFonts w:ascii="Calibri" w:hAnsi="Calibri" w:cs="Calibri"/>
        </w:rPr>
      </w:pPr>
      <w:r w:rsidRPr="69F8FF7F">
        <w:rPr>
          <w:rFonts w:ascii="Calibri" w:hAnsi="Calibri" w:cs="Calibri"/>
          <w:b/>
          <w:sz w:val="24"/>
          <w:szCs w:val="24"/>
        </w:rPr>
        <w:lastRenderedPageBreak/>
        <w:t>Thermostat Demand Response Program:</w:t>
      </w:r>
      <w:r w:rsidRPr="69F8FF7F">
        <w:rPr>
          <w:rFonts w:ascii="Calibri" w:hAnsi="Calibri" w:cs="Calibri"/>
          <w:sz w:val="24"/>
          <w:szCs w:val="24"/>
        </w:rPr>
        <w:t xml:space="preserve"> The Residential Thermostat Demand Response program, or Temp </w:t>
      </w:r>
      <w:r w:rsidRPr="002C4F31">
        <w:rPr>
          <w:rFonts w:ascii="Segoe UI Symbol" w:hAnsi="Segoe UI Symbol" w:cs="Segoe UI Symbol"/>
        </w:rPr>
        <w:t>✓</w:t>
      </w:r>
      <w:r w:rsidRPr="69F8FF7F">
        <w:rPr>
          <w:rFonts w:ascii="Calibri" w:hAnsi="Calibri" w:cs="Calibri"/>
          <w:sz w:val="24"/>
          <w:szCs w:val="24"/>
        </w:rPr>
        <w:t xml:space="preserve">, promotes energy efficiency improvements and shifting of electricity usage during peak demand periods. The program provides financial incentives for customers with an existing smart thermostat </w:t>
      </w:r>
      <w:r w:rsidR="21703B43" w:rsidRPr="005B3F13">
        <w:rPr>
          <w:rFonts w:ascii="Calibri" w:eastAsia="Calibri" w:hAnsi="Calibri" w:cs="Calibri"/>
          <w:sz w:val="24"/>
          <w:szCs w:val="24"/>
        </w:rPr>
        <w:t xml:space="preserve">or eligible purchased thermostats through Georgia Power Marketplace </w:t>
      </w:r>
      <w:r w:rsidRPr="005B3F13">
        <w:rPr>
          <w:rFonts w:ascii="Calibri" w:hAnsi="Calibri" w:cs="Calibri"/>
          <w:sz w:val="24"/>
          <w:szCs w:val="24"/>
        </w:rPr>
        <w:t>that are willing to help reduce energy</w:t>
      </w:r>
      <w:r w:rsidRPr="69F8FF7F">
        <w:rPr>
          <w:rFonts w:ascii="Calibri" w:hAnsi="Calibri" w:cs="Calibri"/>
          <w:sz w:val="24"/>
          <w:szCs w:val="24"/>
        </w:rPr>
        <w:t xml:space="preserve"> during periods of peak demand. In addition to the incentives offered, the program includes customer education and awareness campaigns.</w:t>
      </w:r>
    </w:p>
    <w:p w14:paraId="0A2D44F6" w14:textId="77777777" w:rsidR="002C4F31" w:rsidRPr="002C4F31" w:rsidRDefault="002C4F31" w:rsidP="002C4F31">
      <w:pPr>
        <w:spacing w:after="0" w:line="240" w:lineRule="auto"/>
        <w:jc w:val="right"/>
        <w:rPr>
          <w:rFonts w:ascii="Calibri" w:hAnsi="Calibri" w:cs="Calibri"/>
          <w:b/>
          <w:sz w:val="24"/>
        </w:rPr>
      </w:pPr>
    </w:p>
    <w:p w14:paraId="05BB503C" w14:textId="77777777" w:rsidR="002C4F31" w:rsidRPr="002C4F31" w:rsidRDefault="002C4F31" w:rsidP="002C4F31">
      <w:pPr>
        <w:spacing w:after="0" w:line="240" w:lineRule="auto"/>
        <w:rPr>
          <w:rFonts w:ascii="Calibri" w:hAnsi="Calibri" w:cs="Calibri"/>
          <w:bCs/>
          <w:sz w:val="24"/>
        </w:rPr>
      </w:pPr>
      <w:r w:rsidRPr="002C4F31">
        <w:rPr>
          <w:rFonts w:ascii="Calibri" w:hAnsi="Calibri" w:cs="Calibri"/>
          <w:b/>
          <w:sz w:val="24"/>
        </w:rPr>
        <w:t>Refrigerator Recycling Program</w:t>
      </w:r>
      <w:r w:rsidRPr="002C4F31">
        <w:rPr>
          <w:rFonts w:ascii="Calibri" w:hAnsi="Calibri" w:cs="Calibri"/>
          <w:bCs/>
          <w:sz w:val="24"/>
        </w:rPr>
        <w:t xml:space="preserve">: The Residential Refrigerator Recycling Program aims to eliminate inefficient, extraneous, secondary, working refrigerators and freezers in an environmentally safe manner and produce cost-effective, long-term energy and peak demand savings in the single-family market of the residential sector.  The program focuses on increasing customer awareness of the economic and environmental costs associated with running inefficient, older appliances in a household, and provides eligible customers with free refrigerator and freezer pick-up services in addition to a monetary incentive.  </w:t>
      </w:r>
    </w:p>
    <w:p w14:paraId="7E01D07B" w14:textId="77777777" w:rsidR="002C4F31" w:rsidRPr="002C4F31" w:rsidRDefault="002C4F31" w:rsidP="002C4F31">
      <w:pPr>
        <w:spacing w:after="0" w:line="240" w:lineRule="auto"/>
        <w:rPr>
          <w:rFonts w:ascii="Calibri" w:hAnsi="Calibri" w:cs="Calibri"/>
          <w:sz w:val="24"/>
        </w:rPr>
      </w:pPr>
    </w:p>
    <w:p w14:paraId="26A7F1DA" w14:textId="77777777" w:rsidR="002C4F31" w:rsidRPr="002C4F31" w:rsidRDefault="002C4F31" w:rsidP="002C4F31">
      <w:pPr>
        <w:spacing w:after="0" w:line="240" w:lineRule="auto"/>
        <w:rPr>
          <w:rFonts w:ascii="Calibri" w:hAnsi="Calibri" w:cs="Calibri"/>
          <w:bCs/>
          <w:sz w:val="24"/>
        </w:rPr>
      </w:pPr>
      <w:r w:rsidRPr="002C4F31">
        <w:rPr>
          <w:rFonts w:ascii="Calibri" w:hAnsi="Calibri" w:cs="Calibri"/>
          <w:b/>
          <w:sz w:val="24"/>
        </w:rPr>
        <w:t>Home Energy Improvement Program:</w:t>
      </w:r>
      <w:r w:rsidRPr="002C4F31">
        <w:rPr>
          <w:rFonts w:ascii="Calibri" w:hAnsi="Calibri" w:cs="Calibri"/>
          <w:bCs/>
          <w:sz w:val="24"/>
        </w:rPr>
        <w:t xml:space="preserve"> The Residential Home Energy Improvement Program (“HEIP”) promotes energy efficiency improvements in existing homes and provides financial incentives for implementing eligible energy efficiency measures in homes. The program provides customers, remodelers, and property owners with multiple participation options, including a comprehensive, whole-house approach and an individual improvement option to appeal to a wide range of residential customers. In addition to the financial incentives offered, the program includes customer education and awareness campaigns, and contractor relationships and training.</w:t>
      </w:r>
    </w:p>
    <w:p w14:paraId="13F5F2B8" w14:textId="77777777" w:rsidR="002C4F31" w:rsidRPr="002C4F31" w:rsidRDefault="002C4F31" w:rsidP="002C4F31">
      <w:pPr>
        <w:spacing w:after="0" w:line="240" w:lineRule="auto"/>
        <w:rPr>
          <w:rFonts w:ascii="Calibri" w:hAnsi="Calibri" w:cs="Calibri"/>
          <w:bCs/>
          <w:sz w:val="24"/>
        </w:rPr>
      </w:pPr>
      <w:bookmarkStart w:id="2" w:name="OLE_LINK3"/>
      <w:bookmarkStart w:id="3" w:name="OLE_LINK4"/>
    </w:p>
    <w:p w14:paraId="5D6D2B00" w14:textId="738AD3B1" w:rsidR="002C4F31" w:rsidRPr="002C4F31" w:rsidRDefault="002C4F31" w:rsidP="002C4F31">
      <w:pPr>
        <w:spacing w:after="0" w:line="240" w:lineRule="auto"/>
        <w:rPr>
          <w:rFonts w:ascii="Calibri" w:hAnsi="Calibri" w:cs="Calibri"/>
          <w:sz w:val="24"/>
        </w:rPr>
      </w:pPr>
      <w:r w:rsidRPr="002C4F31">
        <w:rPr>
          <w:rFonts w:ascii="Calibri" w:hAnsi="Calibri" w:cs="Calibri"/>
          <w:b/>
          <w:bCs/>
          <w:sz w:val="24"/>
        </w:rPr>
        <w:t>Home Energy Efficiency Assistance Program:</w:t>
      </w:r>
      <w:r w:rsidRPr="002C4F31">
        <w:rPr>
          <w:rFonts w:ascii="Calibri" w:hAnsi="Calibri" w:cs="Calibri"/>
          <w:sz w:val="24"/>
        </w:rPr>
        <w:t xml:space="preserve"> </w:t>
      </w:r>
      <w:r w:rsidRPr="002C4F31">
        <w:rPr>
          <w:rFonts w:ascii="Calibri" w:hAnsi="Calibri" w:cs="Calibri"/>
          <w:bCs/>
          <w:sz w:val="24"/>
        </w:rPr>
        <w:t>Georgia Power’s Home Energy Efficiency Assistance Program, or Income-Qualified program, promotes energy efficiency improvements in existing Income-Qualified single-family homes, as well as multifamily properties.  The program provides members of community who opt-in with access to a centralized web portal where they can learn about opportunities to help raise funds for a neighbor in need of home weatherization assistance or home energy efficiency improvements. These funds will be additive to the funding provided by Georgia Power as part of the DSM tariff.  Georgia Power will work with community partners and local nonprofits to identify, assess, and implement projects. In addition, the program includes customer education and awareness campaigns, and contractor relationships and training.</w:t>
      </w:r>
    </w:p>
    <w:p w14:paraId="2B446DC5" w14:textId="09CE9D10" w:rsidR="00620F1A" w:rsidRDefault="00620F1A">
      <w:pPr>
        <w:rPr>
          <w:rFonts w:ascii="Calibri" w:hAnsi="Calibri" w:cs="Calibri"/>
        </w:rPr>
      </w:pPr>
      <w:r>
        <w:rPr>
          <w:rFonts w:ascii="Calibri" w:hAnsi="Calibri" w:cs="Calibri"/>
        </w:rPr>
        <w:br w:type="page"/>
      </w:r>
    </w:p>
    <w:p w14:paraId="42BB6E21" w14:textId="77777777" w:rsidR="002C4F31" w:rsidRPr="002C4F31" w:rsidRDefault="002C4F31" w:rsidP="002C4F31">
      <w:pPr>
        <w:spacing w:after="0" w:line="240" w:lineRule="auto"/>
        <w:rPr>
          <w:rFonts w:ascii="Calibri" w:hAnsi="Calibri" w:cs="Calibri"/>
          <w:b/>
          <w:bCs/>
          <w:sz w:val="28"/>
          <w:szCs w:val="28"/>
        </w:rPr>
      </w:pPr>
      <w:r w:rsidRPr="002C4F31">
        <w:rPr>
          <w:rFonts w:ascii="Calibri" w:hAnsi="Calibri" w:cs="Calibri"/>
          <w:b/>
          <w:bCs/>
          <w:sz w:val="28"/>
          <w:szCs w:val="28"/>
        </w:rPr>
        <w:lastRenderedPageBreak/>
        <w:t>Commercial Programs</w:t>
      </w:r>
    </w:p>
    <w:p w14:paraId="2B7CCBB8" w14:textId="77777777" w:rsidR="002C4F31" w:rsidRPr="002C4F31" w:rsidRDefault="002C4F31" w:rsidP="002C4F31">
      <w:pPr>
        <w:spacing w:after="0" w:line="240" w:lineRule="auto"/>
        <w:rPr>
          <w:rFonts w:ascii="Calibri" w:hAnsi="Calibri" w:cs="Calibri"/>
          <w:sz w:val="24"/>
        </w:rPr>
      </w:pPr>
    </w:p>
    <w:p w14:paraId="6DA0229D" w14:textId="2CF6DB0D" w:rsidR="002C4F31" w:rsidRPr="002C4F31" w:rsidRDefault="0AC477E7" w:rsidP="0ADD88E8">
      <w:pPr>
        <w:spacing w:after="0" w:line="240" w:lineRule="auto"/>
        <w:rPr>
          <w:rFonts w:ascii="Calibri" w:hAnsi="Calibri" w:cs="Calibri"/>
          <w:sz w:val="24"/>
          <w:szCs w:val="24"/>
        </w:rPr>
      </w:pPr>
      <w:r w:rsidRPr="5B714D84">
        <w:rPr>
          <w:rFonts w:ascii="Calibri" w:hAnsi="Calibri" w:cs="Calibri"/>
          <w:b/>
          <w:sz w:val="24"/>
          <w:szCs w:val="24"/>
        </w:rPr>
        <w:t>Behavioral Program</w:t>
      </w:r>
      <w:r w:rsidRPr="0ADD88E8">
        <w:rPr>
          <w:rFonts w:ascii="Calibri" w:hAnsi="Calibri" w:cs="Calibri"/>
          <w:sz w:val="24"/>
          <w:szCs w:val="24"/>
        </w:rPr>
        <w:t>: The Commercial Behavioral Program</w:t>
      </w:r>
      <w:r w:rsidRPr="0ADD88E8">
        <w:rPr>
          <w:rFonts w:ascii="Calibri" w:hAnsi="Calibri" w:cs="Calibri"/>
        </w:rPr>
        <w:t xml:space="preserve"> </w:t>
      </w:r>
      <w:r w:rsidRPr="0ADD88E8">
        <w:rPr>
          <w:rFonts w:ascii="Calibri" w:hAnsi="Calibri" w:cs="Calibri"/>
          <w:sz w:val="24"/>
          <w:szCs w:val="24"/>
        </w:rPr>
        <w:t xml:space="preserve">is designed to encourage customer engagement with facility energy management and energy efficiency </w:t>
      </w:r>
      <w:proofErr w:type="gramStart"/>
      <w:r w:rsidRPr="0ADD88E8">
        <w:rPr>
          <w:rFonts w:ascii="Calibri" w:hAnsi="Calibri" w:cs="Calibri"/>
          <w:sz w:val="24"/>
          <w:szCs w:val="24"/>
        </w:rPr>
        <w:t>in order to</w:t>
      </w:r>
      <w:proofErr w:type="gramEnd"/>
      <w:r w:rsidRPr="0ADD88E8">
        <w:rPr>
          <w:rFonts w:ascii="Calibri" w:hAnsi="Calibri" w:cs="Calibri"/>
          <w:sz w:val="24"/>
          <w:szCs w:val="24"/>
        </w:rPr>
        <w:t xml:space="preserve"> reduce energy consumption. The program provides customer-specific information that allows customers to compare their energy use for the month, and over the past year, to the consumption of a peer group of similar facilities and facilities that are considered energy-efficient. Participating customers receive an electronic Business Electric </w:t>
      </w:r>
      <w:r w:rsidR="00387665">
        <w:rPr>
          <w:rFonts w:ascii="Calibri" w:hAnsi="Calibri" w:cs="Calibri"/>
          <w:sz w:val="24"/>
          <w:szCs w:val="24"/>
        </w:rPr>
        <w:t>Assessments</w:t>
      </w:r>
      <w:r w:rsidR="00387665" w:rsidRPr="0ADD88E8">
        <w:rPr>
          <w:rFonts w:ascii="Calibri" w:hAnsi="Calibri" w:cs="Calibri"/>
          <w:sz w:val="24"/>
          <w:szCs w:val="24"/>
        </w:rPr>
        <w:t xml:space="preserve"> </w:t>
      </w:r>
      <w:r w:rsidRPr="0ADD88E8">
        <w:rPr>
          <w:rFonts w:ascii="Calibri" w:hAnsi="Calibri" w:cs="Calibri"/>
          <w:sz w:val="24"/>
          <w:szCs w:val="24"/>
        </w:rPr>
        <w:t>(“</w:t>
      </w:r>
      <w:r w:rsidR="00387665" w:rsidRPr="0ADD88E8">
        <w:rPr>
          <w:rFonts w:ascii="Calibri" w:hAnsi="Calibri" w:cs="Calibri"/>
          <w:sz w:val="24"/>
          <w:szCs w:val="24"/>
        </w:rPr>
        <w:t>BE</w:t>
      </w:r>
      <w:r w:rsidR="00387665">
        <w:rPr>
          <w:rFonts w:ascii="Calibri" w:hAnsi="Calibri" w:cs="Calibri"/>
          <w:sz w:val="24"/>
          <w:szCs w:val="24"/>
        </w:rPr>
        <w:t>A</w:t>
      </w:r>
      <w:r w:rsidRPr="0ADD88E8">
        <w:rPr>
          <w:rFonts w:ascii="Calibri" w:hAnsi="Calibri" w:cs="Calibri"/>
          <w:sz w:val="24"/>
          <w:szCs w:val="24"/>
        </w:rPr>
        <w:t xml:space="preserve">”) several times a year with a summary of their energy consumption data and consumption over the same </w:t>
      </w:r>
      <w:proofErr w:type="gramStart"/>
      <w:r w:rsidRPr="0ADD88E8">
        <w:rPr>
          <w:rFonts w:ascii="Calibri" w:hAnsi="Calibri" w:cs="Calibri"/>
          <w:sz w:val="24"/>
          <w:szCs w:val="24"/>
        </w:rPr>
        <w:t>time period</w:t>
      </w:r>
      <w:proofErr w:type="gramEnd"/>
      <w:r w:rsidRPr="0ADD88E8">
        <w:rPr>
          <w:rFonts w:ascii="Calibri" w:hAnsi="Calibri" w:cs="Calibri"/>
          <w:sz w:val="24"/>
          <w:szCs w:val="24"/>
        </w:rPr>
        <w:t xml:space="preserve"> by their peers. The reports also include seasonal and facility-appropriate energy savings tips, as well as information on energy efficiency programs.  </w:t>
      </w:r>
    </w:p>
    <w:p w14:paraId="335CD9E5" w14:textId="77777777" w:rsidR="002C4F31" w:rsidRPr="002C4F31" w:rsidRDefault="002C4F31" w:rsidP="002C4F31">
      <w:pPr>
        <w:spacing w:after="0" w:line="240" w:lineRule="auto"/>
        <w:rPr>
          <w:rFonts w:ascii="Calibri" w:hAnsi="Calibri" w:cs="Calibri"/>
          <w:b/>
          <w:bCs/>
          <w:sz w:val="24"/>
        </w:rPr>
      </w:pPr>
    </w:p>
    <w:p w14:paraId="0C1FFF96" w14:textId="53137FF7" w:rsidR="002C4F31" w:rsidRPr="002C4F31" w:rsidRDefault="002C4F31" w:rsidP="002C4F31">
      <w:pPr>
        <w:spacing w:after="0" w:line="240" w:lineRule="auto"/>
        <w:rPr>
          <w:rFonts w:ascii="Calibri" w:hAnsi="Calibri" w:cs="Calibri"/>
          <w:color w:val="000000"/>
          <w:sz w:val="24"/>
        </w:rPr>
      </w:pPr>
      <w:r w:rsidRPr="002C4F31">
        <w:rPr>
          <w:rFonts w:ascii="Calibri" w:hAnsi="Calibri" w:cs="Calibri"/>
          <w:b/>
          <w:bCs/>
          <w:sz w:val="24"/>
        </w:rPr>
        <w:t>Custom Program</w:t>
      </w:r>
      <w:r w:rsidRPr="002C4F31">
        <w:rPr>
          <w:rFonts w:ascii="Calibri" w:hAnsi="Calibri" w:cs="Calibri"/>
          <w:sz w:val="24"/>
        </w:rPr>
        <w:t xml:space="preserve">: </w:t>
      </w:r>
      <w:r w:rsidRPr="002C4F31">
        <w:rPr>
          <w:rFonts w:ascii="Calibri" w:hAnsi="Calibri" w:cs="Calibri"/>
          <w:color w:val="000000"/>
          <w:sz w:val="24"/>
        </w:rPr>
        <w:t xml:space="preserve">The </w:t>
      </w:r>
      <w:r w:rsidRPr="002C4F31">
        <w:rPr>
          <w:rFonts w:ascii="Calibri" w:hAnsi="Calibri" w:cs="Calibri"/>
          <w:sz w:val="24"/>
        </w:rPr>
        <w:t xml:space="preserve">Custom Program (“Custom Program”) provides a platform for comprehensive energy efficiency projects in larger existing and new facilities that go beyond single measures and common, measure-level efficiency practices. The Custom Program provides incentives for efficiency improvements not included in other Georgia Power program offerings. All program incentives are based on the verified energy savings achieved for each project. The program does not define a specific list of eligible measures but bases participation on the verifiable energy savings resulting from the measures or system improvements implemented.  </w:t>
      </w:r>
    </w:p>
    <w:p w14:paraId="429CC55B" w14:textId="77777777" w:rsidR="002C4F31" w:rsidRPr="002C4F31" w:rsidRDefault="002C4F31" w:rsidP="002C4F31">
      <w:pPr>
        <w:spacing w:after="0" w:line="240" w:lineRule="auto"/>
        <w:rPr>
          <w:rFonts w:ascii="Calibri" w:hAnsi="Calibri" w:cs="Calibri"/>
          <w:sz w:val="24"/>
        </w:rPr>
      </w:pPr>
    </w:p>
    <w:p w14:paraId="134BFFD0" w14:textId="448422AD" w:rsidR="002C4F31" w:rsidRPr="002C4F31" w:rsidRDefault="002C4F31" w:rsidP="002C4F31">
      <w:pPr>
        <w:spacing w:after="0" w:line="240" w:lineRule="auto"/>
        <w:rPr>
          <w:rFonts w:ascii="Calibri" w:hAnsi="Calibri" w:cs="Calibri"/>
        </w:rPr>
      </w:pPr>
      <w:r w:rsidRPr="002C4F31">
        <w:rPr>
          <w:rFonts w:ascii="Calibri" w:hAnsi="Calibri" w:cs="Calibri"/>
          <w:b/>
          <w:bCs/>
          <w:sz w:val="24"/>
        </w:rPr>
        <w:t>Prescriptive Program</w:t>
      </w:r>
      <w:r w:rsidRPr="002C4F31">
        <w:rPr>
          <w:rFonts w:ascii="Calibri" w:hAnsi="Calibri" w:cs="Calibri"/>
          <w:sz w:val="24"/>
        </w:rPr>
        <w:t xml:space="preserve">: </w:t>
      </w:r>
      <w:r w:rsidRPr="002C4F31">
        <w:rPr>
          <w:rFonts w:ascii="Calibri" w:hAnsi="Calibri" w:cs="Calibri"/>
          <w:color w:val="000000"/>
          <w:sz w:val="24"/>
        </w:rPr>
        <w:t xml:space="preserve">The </w:t>
      </w:r>
      <w:r w:rsidRPr="002C4F31">
        <w:rPr>
          <w:rFonts w:ascii="Calibri" w:hAnsi="Calibri" w:cs="Calibri"/>
          <w:sz w:val="24"/>
        </w:rPr>
        <w:t xml:space="preserve">Commercial Prescriptive Program (“Prescriptive Program”) promotes the purchase of eligible high-efficiency equipment installed at qualifying customer facilities. Rebates offered through this program serve to reduce the incremental cost to upgrade to high-efficiency equipment over standard efficiency options for Georgia Power’s commercial-class customers. The program includes equipment with easily calculated savings, provides straightforward and easy participation for customers, and allows for reduced EM&amp;V costs.    </w:t>
      </w:r>
    </w:p>
    <w:p w14:paraId="65A19A8A" w14:textId="77777777" w:rsidR="002C4F31" w:rsidRPr="002C4F31" w:rsidRDefault="002C4F31" w:rsidP="002C4F31">
      <w:pPr>
        <w:spacing w:after="0" w:line="240" w:lineRule="auto"/>
        <w:rPr>
          <w:rFonts w:ascii="Calibri" w:hAnsi="Calibri" w:cs="Calibri"/>
          <w:sz w:val="24"/>
        </w:rPr>
      </w:pPr>
    </w:p>
    <w:p w14:paraId="03B28105" w14:textId="1C3313F4" w:rsidR="002C4F31" w:rsidRPr="002C4F31" w:rsidRDefault="002C4F31" w:rsidP="002C4F31">
      <w:pPr>
        <w:spacing w:after="0" w:line="240" w:lineRule="auto"/>
        <w:rPr>
          <w:rFonts w:ascii="Calibri" w:hAnsi="Calibri" w:cs="Calibri"/>
          <w:sz w:val="24"/>
          <w:szCs w:val="24"/>
        </w:rPr>
      </w:pPr>
      <w:r w:rsidRPr="002C4F31">
        <w:rPr>
          <w:rFonts w:ascii="Calibri" w:hAnsi="Calibri" w:cs="Calibri"/>
          <w:b/>
          <w:bCs/>
          <w:sz w:val="24"/>
        </w:rPr>
        <w:t>Small Commercial Direct Install Program:</w:t>
      </w:r>
      <w:r w:rsidRPr="002C4F31">
        <w:rPr>
          <w:rFonts w:ascii="Calibri" w:hAnsi="Calibri" w:cs="Calibri"/>
          <w:sz w:val="24"/>
        </w:rPr>
        <w:t xml:space="preserve"> The</w:t>
      </w:r>
      <w:r w:rsidRPr="002C4F31">
        <w:rPr>
          <w:rFonts w:ascii="Calibri" w:hAnsi="Calibri" w:cs="Calibri"/>
          <w:sz w:val="28"/>
          <w:szCs w:val="24"/>
        </w:rPr>
        <w:t xml:space="preserve"> </w:t>
      </w:r>
      <w:r w:rsidRPr="002C4F31">
        <w:rPr>
          <w:rFonts w:ascii="Calibri" w:hAnsi="Calibri" w:cs="Calibri"/>
          <w:sz w:val="24"/>
          <w:szCs w:val="24"/>
        </w:rPr>
        <w:t xml:space="preserve">Small Commercial Direct Install (“SCDI”) Program promotes the installation of eligible high-efficiency equipment at qualifying customer facilities. A primary objective is to develop a process and capability that ensures that qualifying small commercial customers receive the assistance (informational or financial) they require to make cost-effective decisions to install energy-efficient measures. </w:t>
      </w:r>
    </w:p>
    <w:p w14:paraId="720C4AF8" w14:textId="77777777" w:rsidR="002C4F31" w:rsidRPr="002C4F31" w:rsidRDefault="002C4F31" w:rsidP="002C4F31">
      <w:pPr>
        <w:spacing w:after="0" w:line="240" w:lineRule="auto"/>
        <w:rPr>
          <w:rFonts w:ascii="Calibri" w:hAnsi="Calibri" w:cs="Calibri"/>
          <w:color w:val="000000"/>
          <w:sz w:val="24"/>
        </w:rPr>
      </w:pPr>
    </w:p>
    <w:p w14:paraId="5CA50819" w14:textId="6E912798" w:rsidR="002C4F31" w:rsidRPr="002C4F31" w:rsidRDefault="002C4F31" w:rsidP="002C4F31">
      <w:pPr>
        <w:spacing w:after="0" w:line="240" w:lineRule="auto"/>
        <w:rPr>
          <w:rFonts w:ascii="Calibri" w:hAnsi="Calibri" w:cs="Calibri"/>
          <w:sz w:val="24"/>
        </w:rPr>
      </w:pPr>
      <w:r w:rsidRPr="002C4F31">
        <w:rPr>
          <w:rFonts w:ascii="Calibri" w:hAnsi="Calibri" w:cs="Calibri"/>
          <w:b/>
          <w:bCs/>
          <w:sz w:val="24"/>
        </w:rPr>
        <w:t>Midstream Program:</w:t>
      </w:r>
      <w:r w:rsidRPr="002C4F31">
        <w:rPr>
          <w:rFonts w:ascii="Calibri" w:hAnsi="Calibri" w:cs="Calibri"/>
          <w:sz w:val="24"/>
        </w:rPr>
        <w:t xml:space="preserve"> The Commercial Midstream Products Program promotes the installation of eligible high-efficiency HVAC and commercial food service equipment at qualifying Georgia Power commercial customer facilities. The program is focused on influencing distributors’ stocking practices as well as their promotion and sales of high efficiency HVAC and food service equipment.  </w:t>
      </w:r>
    </w:p>
    <w:p w14:paraId="42349899" w14:textId="77777777" w:rsidR="002C4F31" w:rsidRPr="002C4F31" w:rsidRDefault="002C4F31" w:rsidP="002C4F31">
      <w:pPr>
        <w:spacing w:after="0" w:line="240" w:lineRule="auto"/>
        <w:rPr>
          <w:rFonts w:ascii="Calibri" w:hAnsi="Calibri" w:cs="Calibri"/>
        </w:rPr>
      </w:pPr>
    </w:p>
    <w:p w14:paraId="76CF0689" w14:textId="77777777" w:rsidR="002C4F31" w:rsidRPr="002C4F31" w:rsidRDefault="002C4F31" w:rsidP="002C4F31">
      <w:pPr>
        <w:spacing w:after="0" w:line="240" w:lineRule="auto"/>
        <w:jc w:val="both"/>
        <w:rPr>
          <w:rFonts w:ascii="Calibri" w:eastAsia="Times New Roman" w:hAnsi="Calibri" w:cs="Calibri"/>
          <w:color w:val="000000" w:themeColor="text1"/>
          <w:sz w:val="24"/>
          <w:szCs w:val="24"/>
        </w:rPr>
      </w:pPr>
    </w:p>
    <w:p w14:paraId="7F3AB79E" w14:textId="0B0A6D14" w:rsidR="002C4F31" w:rsidRPr="002C4F31" w:rsidRDefault="002C4F31" w:rsidP="002C4F31">
      <w:pPr>
        <w:spacing w:after="200" w:line="276" w:lineRule="auto"/>
        <w:jc w:val="center"/>
        <w:rPr>
          <w:rFonts w:ascii="Calibri" w:eastAsia="Times New Roman" w:hAnsi="Calibri" w:cs="Calibri"/>
          <w:b/>
          <w:sz w:val="24"/>
          <w:szCs w:val="24"/>
        </w:rPr>
      </w:pPr>
      <w:r w:rsidRPr="002C4F31">
        <w:rPr>
          <w:rFonts w:ascii="Calibri" w:eastAsia="Times New Roman" w:hAnsi="Calibri" w:cs="Calibri"/>
          <w:color w:val="000000" w:themeColor="text1"/>
          <w:sz w:val="24"/>
          <w:szCs w:val="24"/>
        </w:rPr>
        <w:br w:type="page"/>
      </w:r>
      <w:bookmarkEnd w:id="2"/>
      <w:bookmarkEnd w:id="3"/>
      <w:r w:rsidRPr="002C4F31">
        <w:rPr>
          <w:rFonts w:ascii="Calibri" w:eastAsia="Times New Roman" w:hAnsi="Calibri" w:cs="Calibri"/>
          <w:b/>
          <w:sz w:val="24"/>
          <w:szCs w:val="24"/>
        </w:rPr>
        <w:lastRenderedPageBreak/>
        <w:t>Program Highlights Q</w:t>
      </w:r>
      <w:r w:rsidR="00F77FF4">
        <w:rPr>
          <w:rFonts w:ascii="Calibri" w:eastAsia="Times New Roman" w:hAnsi="Calibri" w:cs="Calibri"/>
          <w:b/>
          <w:sz w:val="24"/>
          <w:szCs w:val="24"/>
        </w:rPr>
        <w:t>4</w:t>
      </w:r>
      <w:r w:rsidRPr="002C4F31">
        <w:rPr>
          <w:rFonts w:ascii="Calibri" w:eastAsia="Times New Roman" w:hAnsi="Calibri" w:cs="Calibri"/>
          <w:b/>
          <w:sz w:val="24"/>
          <w:szCs w:val="24"/>
        </w:rPr>
        <w:t xml:space="preserve"> (</w:t>
      </w:r>
      <w:r w:rsidR="00F77FF4">
        <w:rPr>
          <w:rFonts w:ascii="Calibri" w:eastAsia="Times New Roman" w:hAnsi="Calibri" w:cs="Calibri"/>
          <w:b/>
          <w:sz w:val="24"/>
          <w:szCs w:val="24"/>
        </w:rPr>
        <w:t>October</w:t>
      </w:r>
      <w:r w:rsidRPr="002C4F31">
        <w:rPr>
          <w:rFonts w:ascii="Calibri" w:eastAsia="Times New Roman" w:hAnsi="Calibri" w:cs="Calibri"/>
          <w:b/>
          <w:sz w:val="24"/>
          <w:szCs w:val="24"/>
        </w:rPr>
        <w:t>-</w:t>
      </w:r>
      <w:r w:rsidR="00F77FF4">
        <w:rPr>
          <w:rFonts w:ascii="Calibri" w:eastAsia="Times New Roman" w:hAnsi="Calibri" w:cs="Calibri"/>
          <w:b/>
          <w:sz w:val="24"/>
          <w:szCs w:val="24"/>
        </w:rPr>
        <w:t>Dec</w:t>
      </w:r>
      <w:r w:rsidR="00744A9F">
        <w:rPr>
          <w:rFonts w:ascii="Calibri" w:eastAsia="Times New Roman" w:hAnsi="Calibri" w:cs="Calibri"/>
          <w:b/>
          <w:sz w:val="24"/>
          <w:szCs w:val="24"/>
        </w:rPr>
        <w:t>ember</w:t>
      </w:r>
      <w:r w:rsidRPr="002C4F31">
        <w:rPr>
          <w:rFonts w:ascii="Calibri" w:eastAsia="Times New Roman" w:hAnsi="Calibri" w:cs="Calibri"/>
          <w:b/>
          <w:sz w:val="24"/>
          <w:szCs w:val="24"/>
        </w:rPr>
        <w:t>) 2020</w:t>
      </w:r>
      <w:r w:rsidRPr="002C4F31">
        <w:rPr>
          <w:rFonts w:ascii="Calibri" w:eastAsia="Times New Roman" w:hAnsi="Calibri" w:cs="Calibri"/>
          <w:b/>
          <w:sz w:val="24"/>
          <w:szCs w:val="24"/>
          <w:vertAlign w:val="superscript"/>
        </w:rPr>
        <w:footnoteReference w:id="2"/>
      </w:r>
    </w:p>
    <w:p w14:paraId="0AA3205D" w14:textId="77777777" w:rsidR="002C4F31" w:rsidRPr="002C4F31" w:rsidRDefault="002C4F31" w:rsidP="002C4F31">
      <w:pPr>
        <w:spacing w:after="0" w:line="276" w:lineRule="auto"/>
        <w:rPr>
          <w:rFonts w:ascii="Calibri" w:eastAsia="Times New Roman" w:hAnsi="Calibri" w:cs="Calibri"/>
          <w:b/>
          <w:sz w:val="24"/>
          <w:szCs w:val="24"/>
          <w:u w:val="single"/>
        </w:rPr>
      </w:pPr>
      <w:r w:rsidRPr="002C4F31">
        <w:rPr>
          <w:rFonts w:ascii="Calibri" w:eastAsia="Times New Roman" w:hAnsi="Calibri" w:cs="Calibri"/>
          <w:b/>
          <w:sz w:val="24"/>
          <w:szCs w:val="24"/>
          <w:u w:val="single"/>
        </w:rPr>
        <w:t>Residential:</w:t>
      </w:r>
    </w:p>
    <w:p w14:paraId="72866F49" w14:textId="77777777" w:rsidR="0027793F" w:rsidRDefault="0027793F" w:rsidP="0027793F">
      <w:pPr>
        <w:numPr>
          <w:ilvl w:val="0"/>
          <w:numId w:val="2"/>
        </w:numPr>
        <w:spacing w:after="0" w:line="276" w:lineRule="auto"/>
        <w:contextualSpacing/>
        <w:rPr>
          <w:rFonts w:ascii="Calibri" w:eastAsia="Times New Roman" w:hAnsi="Calibri" w:cs="Calibri"/>
          <w:sz w:val="24"/>
          <w:szCs w:val="24"/>
        </w:rPr>
      </w:pPr>
      <w:r w:rsidRPr="002C4F31">
        <w:rPr>
          <w:rFonts w:ascii="Calibri" w:eastAsia="Times New Roman" w:hAnsi="Calibri" w:cs="Calibri"/>
          <w:sz w:val="24"/>
          <w:szCs w:val="24"/>
        </w:rPr>
        <w:t>Specialty Lighting</w:t>
      </w:r>
    </w:p>
    <w:p w14:paraId="2A68442C" w14:textId="6BB25E6F" w:rsidR="0027793F" w:rsidRPr="002E0AF9" w:rsidRDefault="0027793F" w:rsidP="0027793F">
      <w:pPr>
        <w:numPr>
          <w:ilvl w:val="1"/>
          <w:numId w:val="2"/>
        </w:numPr>
        <w:spacing w:after="0" w:line="276" w:lineRule="auto"/>
        <w:contextualSpacing/>
        <w:rPr>
          <w:rFonts w:ascii="Calibri" w:eastAsia="Times New Roman" w:hAnsi="Calibri" w:cs="Calibri"/>
          <w:sz w:val="24"/>
          <w:szCs w:val="24"/>
        </w:rPr>
      </w:pPr>
      <w:r w:rsidRPr="002E0AF9">
        <w:rPr>
          <w:rFonts w:ascii="Calibri" w:eastAsia="Times New Roman" w:hAnsi="Calibri" w:cs="Calibri"/>
          <w:sz w:val="24"/>
          <w:szCs w:val="24"/>
        </w:rPr>
        <w:t xml:space="preserve">2020 Program kWh target as filed is 18,031,408 kWh. GPC </w:t>
      </w:r>
      <w:r w:rsidR="0012670A">
        <w:rPr>
          <w:rFonts w:ascii="Calibri" w:eastAsia="Times New Roman" w:hAnsi="Calibri" w:cs="Calibri"/>
          <w:sz w:val="24"/>
          <w:szCs w:val="24"/>
        </w:rPr>
        <w:t xml:space="preserve">adjusted </w:t>
      </w:r>
      <w:r w:rsidR="00FD1226">
        <w:rPr>
          <w:rFonts w:ascii="Calibri" w:eastAsia="Times New Roman" w:hAnsi="Calibri" w:cs="Calibri"/>
          <w:sz w:val="24"/>
          <w:szCs w:val="24"/>
        </w:rPr>
        <w:t xml:space="preserve">this </w:t>
      </w:r>
      <w:r w:rsidRPr="002E0AF9">
        <w:rPr>
          <w:rFonts w:ascii="Calibri" w:eastAsia="Times New Roman" w:hAnsi="Calibri" w:cs="Calibri"/>
          <w:sz w:val="24"/>
          <w:szCs w:val="24"/>
        </w:rPr>
        <w:t>target</w:t>
      </w:r>
      <w:r w:rsidR="00FD1226">
        <w:rPr>
          <w:rFonts w:ascii="Calibri" w:eastAsia="Times New Roman" w:hAnsi="Calibri" w:cs="Calibri"/>
          <w:sz w:val="24"/>
          <w:szCs w:val="24"/>
        </w:rPr>
        <w:t xml:space="preserve"> to</w:t>
      </w:r>
      <w:r w:rsidRPr="002E0AF9">
        <w:rPr>
          <w:rFonts w:ascii="Calibri" w:eastAsia="Times New Roman" w:hAnsi="Calibri" w:cs="Calibri"/>
          <w:sz w:val="24"/>
          <w:szCs w:val="24"/>
        </w:rPr>
        <w:t xml:space="preserve"> 33,591,498 kWh, as agreed to with PSC Staff</w:t>
      </w:r>
      <w:r w:rsidR="005E3F71">
        <w:rPr>
          <w:rFonts w:ascii="Calibri" w:eastAsia="Times New Roman" w:hAnsi="Calibri" w:cs="Calibri"/>
          <w:sz w:val="24"/>
          <w:szCs w:val="24"/>
        </w:rPr>
        <w:t>,</w:t>
      </w:r>
      <w:r w:rsidRPr="002E0AF9">
        <w:rPr>
          <w:rFonts w:ascii="Calibri" w:eastAsia="Times New Roman" w:hAnsi="Calibri" w:cs="Calibri"/>
          <w:sz w:val="24"/>
          <w:szCs w:val="24"/>
        </w:rPr>
        <w:t xml:space="preserve"> to minimize </w:t>
      </w:r>
      <w:r w:rsidR="00680C69">
        <w:rPr>
          <w:rFonts w:ascii="Calibri" w:eastAsia="Times New Roman" w:hAnsi="Calibri" w:cs="Calibri"/>
          <w:sz w:val="24"/>
          <w:szCs w:val="24"/>
        </w:rPr>
        <w:t xml:space="preserve">the </w:t>
      </w:r>
      <w:r w:rsidRPr="002E0AF9">
        <w:rPr>
          <w:rFonts w:ascii="Calibri" w:eastAsia="Times New Roman" w:hAnsi="Calibri" w:cs="Calibri"/>
          <w:sz w:val="24"/>
          <w:szCs w:val="24"/>
        </w:rPr>
        <w:t>impacts of COVID-19 on the residential portfolio.</w:t>
      </w:r>
    </w:p>
    <w:p w14:paraId="7D0C212D" w14:textId="0D849FED" w:rsidR="0027793F" w:rsidRPr="002E0AF9" w:rsidRDefault="0027793F" w:rsidP="0027793F">
      <w:pPr>
        <w:numPr>
          <w:ilvl w:val="1"/>
          <w:numId w:val="2"/>
        </w:numPr>
        <w:spacing w:after="0" w:line="276" w:lineRule="auto"/>
        <w:contextualSpacing/>
        <w:rPr>
          <w:rFonts w:ascii="Calibri" w:eastAsia="Times New Roman" w:hAnsi="Calibri" w:cs="Calibri"/>
          <w:sz w:val="24"/>
          <w:szCs w:val="24"/>
        </w:rPr>
      </w:pPr>
      <w:bookmarkStart w:id="4" w:name="_Hlk39826627"/>
      <w:r w:rsidRPr="002E0AF9">
        <w:rPr>
          <w:rFonts w:ascii="Calibri" w:eastAsia="Times New Roman" w:hAnsi="Calibri" w:cs="Calibri"/>
          <w:sz w:val="24"/>
          <w:szCs w:val="24"/>
        </w:rPr>
        <w:t xml:space="preserve">Year to Date (“YTD”), the program achieved </w:t>
      </w:r>
      <w:r w:rsidR="00F5486C">
        <w:rPr>
          <w:rFonts w:ascii="Calibri" w:eastAsia="Times New Roman" w:hAnsi="Calibri" w:cs="Calibri"/>
          <w:sz w:val="24"/>
          <w:szCs w:val="24"/>
        </w:rPr>
        <w:t xml:space="preserve">34,566,354 </w:t>
      </w:r>
      <w:r w:rsidRPr="002E0AF9">
        <w:rPr>
          <w:rFonts w:ascii="Calibri" w:eastAsia="Times New Roman" w:hAnsi="Calibri" w:cs="Calibri"/>
          <w:sz w:val="24"/>
          <w:szCs w:val="24"/>
        </w:rPr>
        <w:t xml:space="preserve">kWh savings and paid </w:t>
      </w:r>
      <w:r w:rsidR="00F5486C">
        <w:rPr>
          <w:rFonts w:ascii="Calibri" w:eastAsia="Times New Roman" w:hAnsi="Calibri" w:cs="Calibri"/>
          <w:sz w:val="24"/>
          <w:szCs w:val="24"/>
        </w:rPr>
        <w:t xml:space="preserve">$1,261,710 </w:t>
      </w:r>
      <w:r w:rsidRPr="002E0AF9">
        <w:rPr>
          <w:rFonts w:ascii="Calibri" w:eastAsia="Times New Roman" w:hAnsi="Calibri" w:cs="Calibri"/>
          <w:sz w:val="24"/>
          <w:szCs w:val="24"/>
        </w:rPr>
        <w:t>in incentives through Q</w:t>
      </w:r>
      <w:r>
        <w:rPr>
          <w:rFonts w:ascii="Calibri" w:eastAsia="Times New Roman" w:hAnsi="Calibri" w:cs="Calibri"/>
          <w:sz w:val="24"/>
          <w:szCs w:val="24"/>
        </w:rPr>
        <w:t>4</w:t>
      </w:r>
      <w:r w:rsidRPr="002E0AF9">
        <w:rPr>
          <w:rFonts w:ascii="Calibri" w:eastAsia="Times New Roman" w:hAnsi="Calibri" w:cs="Calibri"/>
          <w:sz w:val="24"/>
          <w:szCs w:val="24"/>
        </w:rPr>
        <w:t>:</w:t>
      </w:r>
    </w:p>
    <w:p w14:paraId="5561A957" w14:textId="6783B64F" w:rsidR="0027793F" w:rsidRPr="002E0AF9" w:rsidRDefault="00F5486C" w:rsidP="0027793F">
      <w:pPr>
        <w:numPr>
          <w:ilvl w:val="2"/>
          <w:numId w:val="2"/>
        </w:numPr>
        <w:spacing w:after="0" w:line="276" w:lineRule="auto"/>
        <w:contextualSpacing/>
        <w:rPr>
          <w:rFonts w:ascii="Calibri" w:eastAsia="Times New Roman" w:hAnsi="Calibri" w:cs="Calibri"/>
          <w:sz w:val="24"/>
          <w:szCs w:val="24"/>
        </w:rPr>
      </w:pPr>
      <w:r>
        <w:rPr>
          <w:rFonts w:ascii="Calibri" w:eastAsia="Times New Roman" w:hAnsi="Calibri" w:cs="Calibri"/>
          <w:sz w:val="24"/>
          <w:szCs w:val="24"/>
        </w:rPr>
        <w:t xml:space="preserve">191.70% </w:t>
      </w:r>
      <w:r w:rsidR="0027793F" w:rsidRPr="002E0AF9">
        <w:rPr>
          <w:rFonts w:ascii="Calibri" w:eastAsia="Times New Roman" w:hAnsi="Calibri" w:cs="Calibri"/>
          <w:sz w:val="24"/>
          <w:szCs w:val="24"/>
        </w:rPr>
        <w:t>of filed kWh goal.</w:t>
      </w:r>
    </w:p>
    <w:p w14:paraId="1EAA6153" w14:textId="1A8B616C" w:rsidR="0027793F" w:rsidRPr="002E0AF9" w:rsidRDefault="00F5486C" w:rsidP="0027793F">
      <w:pPr>
        <w:numPr>
          <w:ilvl w:val="2"/>
          <w:numId w:val="2"/>
        </w:numPr>
        <w:spacing w:after="0" w:line="276" w:lineRule="auto"/>
        <w:contextualSpacing/>
        <w:rPr>
          <w:rFonts w:ascii="Calibri" w:eastAsia="Times New Roman" w:hAnsi="Calibri" w:cs="Calibri"/>
          <w:sz w:val="24"/>
          <w:szCs w:val="24"/>
        </w:rPr>
      </w:pPr>
      <w:r>
        <w:rPr>
          <w:rFonts w:ascii="Calibri" w:eastAsia="Times New Roman" w:hAnsi="Calibri" w:cs="Calibri"/>
          <w:sz w:val="24"/>
          <w:szCs w:val="24"/>
        </w:rPr>
        <w:t xml:space="preserve">102.90% </w:t>
      </w:r>
      <w:r w:rsidR="0027793F" w:rsidRPr="002E0AF9">
        <w:rPr>
          <w:rFonts w:ascii="Calibri" w:eastAsia="Times New Roman" w:hAnsi="Calibri" w:cs="Calibri"/>
          <w:sz w:val="24"/>
          <w:szCs w:val="24"/>
        </w:rPr>
        <w:t>of updated kWh target.</w:t>
      </w:r>
    </w:p>
    <w:p w14:paraId="09646427" w14:textId="1E4D1375" w:rsidR="0027793F" w:rsidRPr="002E0AF9" w:rsidRDefault="000B7F0B" w:rsidP="0027793F">
      <w:pPr>
        <w:numPr>
          <w:ilvl w:val="2"/>
          <w:numId w:val="2"/>
        </w:numPr>
        <w:spacing w:after="0" w:line="276" w:lineRule="auto"/>
        <w:contextualSpacing/>
        <w:rPr>
          <w:rFonts w:ascii="Calibri" w:eastAsia="Times New Roman" w:hAnsi="Calibri" w:cs="Calibri"/>
          <w:sz w:val="24"/>
          <w:szCs w:val="24"/>
        </w:rPr>
      </w:pPr>
      <w:r>
        <w:rPr>
          <w:rFonts w:ascii="Calibri" w:eastAsia="Times New Roman" w:hAnsi="Calibri" w:cs="Calibri"/>
          <w:sz w:val="24"/>
          <w:szCs w:val="24"/>
        </w:rPr>
        <w:t xml:space="preserve">132.11% </w:t>
      </w:r>
      <w:r w:rsidR="00F5486C">
        <w:rPr>
          <w:rFonts w:ascii="Calibri" w:eastAsia="Times New Roman" w:hAnsi="Calibri" w:cs="Calibri"/>
          <w:sz w:val="24"/>
          <w:szCs w:val="24"/>
        </w:rPr>
        <w:t xml:space="preserve">of </w:t>
      </w:r>
      <w:r w:rsidR="0027793F" w:rsidRPr="000B7F0B">
        <w:rPr>
          <w:rFonts w:ascii="Calibri" w:eastAsia="Times New Roman" w:hAnsi="Calibri" w:cs="Calibri"/>
          <w:sz w:val="24"/>
          <w:szCs w:val="24"/>
        </w:rPr>
        <w:t>incentive budget</w:t>
      </w:r>
      <w:r w:rsidR="0027793F" w:rsidRPr="002E0AF9">
        <w:rPr>
          <w:rFonts w:ascii="Calibri" w:eastAsia="Times New Roman" w:hAnsi="Calibri" w:cs="Calibri"/>
          <w:sz w:val="24"/>
          <w:szCs w:val="24"/>
        </w:rPr>
        <w:t xml:space="preserve"> spent. </w:t>
      </w:r>
    </w:p>
    <w:p w14:paraId="6B62EC14" w14:textId="7A189A05" w:rsidR="0027793F" w:rsidRPr="002E0AF9" w:rsidRDefault="0027793F" w:rsidP="0027793F">
      <w:pPr>
        <w:numPr>
          <w:ilvl w:val="1"/>
          <w:numId w:val="2"/>
        </w:numPr>
        <w:spacing w:after="0" w:line="276" w:lineRule="auto"/>
        <w:contextualSpacing/>
        <w:rPr>
          <w:rFonts w:ascii="Calibri" w:eastAsia="Times New Roman" w:hAnsi="Calibri" w:cs="Calibri"/>
          <w:sz w:val="24"/>
          <w:szCs w:val="24"/>
        </w:rPr>
      </w:pPr>
      <w:r>
        <w:rPr>
          <w:rFonts w:ascii="Calibri" w:eastAsia="Times New Roman" w:hAnsi="Calibri" w:cs="Calibri"/>
          <w:sz w:val="24"/>
          <w:szCs w:val="24"/>
        </w:rPr>
        <w:t>Additional l</w:t>
      </w:r>
      <w:r w:rsidRPr="002E0AF9">
        <w:rPr>
          <w:rFonts w:ascii="Calibri" w:eastAsia="Times New Roman" w:hAnsi="Calibri" w:cs="Calibri"/>
          <w:sz w:val="24"/>
          <w:szCs w:val="24"/>
        </w:rPr>
        <w:t>ight meters were</w:t>
      </w:r>
      <w:r>
        <w:rPr>
          <w:rFonts w:ascii="Calibri" w:eastAsia="Times New Roman" w:hAnsi="Calibri" w:cs="Calibri"/>
          <w:sz w:val="24"/>
          <w:szCs w:val="24"/>
        </w:rPr>
        <w:t xml:space="preserve"> produced and</w:t>
      </w:r>
      <w:r w:rsidRPr="002E0AF9">
        <w:rPr>
          <w:rFonts w:ascii="Calibri" w:eastAsia="Times New Roman" w:hAnsi="Calibri" w:cs="Calibri"/>
          <w:sz w:val="24"/>
          <w:szCs w:val="24"/>
        </w:rPr>
        <w:t xml:space="preserve"> deployed to </w:t>
      </w:r>
      <w:r>
        <w:rPr>
          <w:rFonts w:ascii="Calibri" w:eastAsia="Times New Roman" w:hAnsi="Calibri" w:cs="Calibri"/>
          <w:sz w:val="24"/>
          <w:szCs w:val="24"/>
        </w:rPr>
        <w:t>seven</w:t>
      </w:r>
      <w:r w:rsidRPr="002E0AF9">
        <w:rPr>
          <w:rFonts w:ascii="Calibri" w:eastAsia="Times New Roman" w:hAnsi="Calibri" w:cs="Calibri"/>
          <w:sz w:val="24"/>
          <w:szCs w:val="24"/>
        </w:rPr>
        <w:t xml:space="preserve"> Habitat ReStore locations</w:t>
      </w:r>
      <w:r>
        <w:rPr>
          <w:rFonts w:ascii="Calibri" w:eastAsia="Times New Roman" w:hAnsi="Calibri" w:cs="Calibri"/>
          <w:sz w:val="24"/>
          <w:szCs w:val="24"/>
        </w:rPr>
        <w:t xml:space="preserve"> (</w:t>
      </w:r>
      <w:r w:rsidR="00EE3596">
        <w:rPr>
          <w:rFonts w:ascii="Calibri" w:eastAsia="Times New Roman" w:hAnsi="Calibri" w:cs="Calibri"/>
          <w:sz w:val="24"/>
          <w:szCs w:val="24"/>
        </w:rPr>
        <w:t xml:space="preserve">a </w:t>
      </w:r>
      <w:r>
        <w:rPr>
          <w:rFonts w:ascii="Calibri" w:eastAsia="Times New Roman" w:hAnsi="Calibri" w:cs="Calibri"/>
          <w:sz w:val="24"/>
          <w:szCs w:val="24"/>
        </w:rPr>
        <w:t xml:space="preserve">total of </w:t>
      </w:r>
      <w:r w:rsidR="00331B7A">
        <w:rPr>
          <w:rFonts w:ascii="Calibri" w:eastAsia="Times New Roman" w:hAnsi="Calibri" w:cs="Calibri"/>
          <w:sz w:val="24"/>
          <w:szCs w:val="24"/>
        </w:rPr>
        <w:t>thirteen</w:t>
      </w:r>
      <w:r>
        <w:rPr>
          <w:rFonts w:ascii="Calibri" w:eastAsia="Times New Roman" w:hAnsi="Calibri" w:cs="Calibri"/>
          <w:sz w:val="24"/>
          <w:szCs w:val="24"/>
        </w:rPr>
        <w:t xml:space="preserve">) </w:t>
      </w:r>
      <w:r w:rsidRPr="002E0AF9">
        <w:rPr>
          <w:rFonts w:ascii="Calibri" w:eastAsia="Times New Roman" w:hAnsi="Calibri" w:cs="Calibri"/>
          <w:sz w:val="24"/>
          <w:szCs w:val="24"/>
        </w:rPr>
        <w:t>in Q</w:t>
      </w:r>
      <w:r>
        <w:rPr>
          <w:rFonts w:ascii="Calibri" w:eastAsia="Times New Roman" w:hAnsi="Calibri" w:cs="Calibri"/>
          <w:sz w:val="24"/>
          <w:szCs w:val="24"/>
        </w:rPr>
        <w:t>4</w:t>
      </w:r>
      <w:r w:rsidRPr="002E0AF9">
        <w:rPr>
          <w:rFonts w:ascii="Calibri" w:eastAsia="Times New Roman" w:hAnsi="Calibri" w:cs="Calibri"/>
          <w:sz w:val="24"/>
          <w:szCs w:val="24"/>
        </w:rPr>
        <w:t xml:space="preserve"> to support the education of store personnel and customers in hard-to-reach demographics.  </w:t>
      </w:r>
    </w:p>
    <w:p w14:paraId="4D07B925" w14:textId="77777777" w:rsidR="0027793F" w:rsidRPr="002E0AF9" w:rsidRDefault="0027793F" w:rsidP="0027793F">
      <w:pPr>
        <w:numPr>
          <w:ilvl w:val="1"/>
          <w:numId w:val="2"/>
        </w:numPr>
        <w:spacing w:after="0" w:line="276" w:lineRule="auto"/>
        <w:contextualSpacing/>
        <w:rPr>
          <w:rFonts w:ascii="Calibri" w:eastAsia="Times New Roman" w:hAnsi="Calibri" w:cs="Calibri"/>
          <w:sz w:val="24"/>
          <w:szCs w:val="24"/>
        </w:rPr>
      </w:pPr>
      <w:r w:rsidRPr="002E0AF9">
        <w:rPr>
          <w:rFonts w:ascii="Calibri" w:eastAsia="Times New Roman" w:hAnsi="Calibri" w:cs="Calibri"/>
          <w:sz w:val="24"/>
          <w:szCs w:val="24"/>
        </w:rPr>
        <w:t>Food Bank Distribution</w:t>
      </w:r>
      <w:r>
        <w:rPr>
          <w:rFonts w:ascii="Calibri" w:eastAsia="Times New Roman" w:hAnsi="Calibri" w:cs="Calibri"/>
          <w:sz w:val="24"/>
          <w:szCs w:val="24"/>
        </w:rPr>
        <w:t>s Completed</w:t>
      </w:r>
    </w:p>
    <w:p w14:paraId="3C56A046" w14:textId="43E47081" w:rsidR="0027793F" w:rsidRPr="002E0AF9" w:rsidRDefault="00C7298B" w:rsidP="0027793F">
      <w:pPr>
        <w:numPr>
          <w:ilvl w:val="2"/>
          <w:numId w:val="2"/>
        </w:numPr>
        <w:tabs>
          <w:tab w:val="num" w:pos="720"/>
        </w:tabs>
        <w:spacing w:after="0" w:line="276" w:lineRule="auto"/>
        <w:contextualSpacing/>
        <w:rPr>
          <w:rFonts w:ascii="Calibri" w:eastAsia="Times New Roman" w:hAnsi="Calibri" w:cs="Calibri"/>
          <w:sz w:val="24"/>
          <w:szCs w:val="24"/>
        </w:rPr>
      </w:pPr>
      <w:r>
        <w:rPr>
          <w:rFonts w:ascii="Calibri" w:eastAsia="Times New Roman" w:hAnsi="Calibri" w:cs="Calibri"/>
          <w:sz w:val="24"/>
          <w:szCs w:val="24"/>
        </w:rPr>
        <w:t xml:space="preserve">Approximately 37,500 4-Packs of Energy Star LEDs (150,000 bulbs) deliveries completed in Q4, in addition to </w:t>
      </w:r>
      <w:r w:rsidR="0027793F" w:rsidRPr="002E0AF9">
        <w:rPr>
          <w:rFonts w:ascii="Calibri" w:eastAsia="Times New Roman" w:hAnsi="Calibri" w:cs="Calibri"/>
          <w:sz w:val="24"/>
          <w:szCs w:val="24"/>
        </w:rPr>
        <w:t>educational flyers and reusable grocery bags to aid in the distribution of program materials and produce.</w:t>
      </w:r>
    </w:p>
    <w:p w14:paraId="624F837B" w14:textId="10DBE6E4" w:rsidR="0027793F" w:rsidRDefault="0027793F" w:rsidP="005157D3">
      <w:pPr>
        <w:numPr>
          <w:ilvl w:val="3"/>
          <w:numId w:val="2"/>
        </w:numPr>
        <w:spacing w:after="0" w:line="276" w:lineRule="auto"/>
        <w:contextualSpacing/>
        <w:rPr>
          <w:rFonts w:ascii="Calibri" w:eastAsia="Times New Roman" w:hAnsi="Calibri" w:cs="Calibri"/>
          <w:sz w:val="24"/>
          <w:szCs w:val="24"/>
        </w:rPr>
      </w:pPr>
      <w:r w:rsidRPr="002E0AF9">
        <w:rPr>
          <w:rFonts w:ascii="Calibri" w:eastAsia="Times New Roman" w:hAnsi="Calibri" w:cs="Calibri"/>
          <w:sz w:val="24"/>
          <w:szCs w:val="24"/>
        </w:rPr>
        <w:t xml:space="preserve">Food </w:t>
      </w:r>
      <w:r w:rsidR="005E6FAF">
        <w:rPr>
          <w:rFonts w:ascii="Calibri" w:eastAsia="Times New Roman" w:hAnsi="Calibri" w:cs="Calibri"/>
          <w:sz w:val="24"/>
          <w:szCs w:val="24"/>
        </w:rPr>
        <w:t>b</w:t>
      </w:r>
      <w:r w:rsidR="005E6FAF" w:rsidRPr="002E0AF9">
        <w:rPr>
          <w:rFonts w:ascii="Calibri" w:eastAsia="Times New Roman" w:hAnsi="Calibri" w:cs="Calibri"/>
          <w:sz w:val="24"/>
          <w:szCs w:val="24"/>
        </w:rPr>
        <w:t xml:space="preserve">anks </w:t>
      </w:r>
      <w:r w:rsidRPr="002E0AF9">
        <w:rPr>
          <w:rFonts w:ascii="Calibri" w:eastAsia="Times New Roman" w:hAnsi="Calibri" w:cs="Calibri"/>
          <w:sz w:val="24"/>
          <w:szCs w:val="24"/>
        </w:rPr>
        <w:t>include: Food Bank of Northeast Georgia in Athens, Georgia Mountain Food Bank in Gainesville, Golden Harvest Food Bank in Augusta, Atlanta Community Food Bank in Atlanta, Second Harvest Food Bank in Savannah, and Middle Georgia Community Food Bank in Macon.  </w:t>
      </w:r>
    </w:p>
    <w:p w14:paraId="3D978F3A" w14:textId="197ED186" w:rsidR="0027793F" w:rsidRDefault="0027793F" w:rsidP="0027793F">
      <w:pPr>
        <w:numPr>
          <w:ilvl w:val="2"/>
          <w:numId w:val="2"/>
        </w:numPr>
        <w:spacing w:after="0" w:line="276" w:lineRule="auto"/>
        <w:contextualSpacing/>
        <w:rPr>
          <w:rFonts w:ascii="Calibri" w:eastAsia="Times New Roman" w:hAnsi="Calibri" w:cs="Calibri"/>
          <w:sz w:val="24"/>
          <w:szCs w:val="24"/>
        </w:rPr>
      </w:pPr>
      <w:r>
        <w:rPr>
          <w:rFonts w:ascii="Calibri" w:eastAsia="Times New Roman" w:hAnsi="Calibri" w:cs="Calibri"/>
          <w:sz w:val="24"/>
          <w:szCs w:val="24"/>
        </w:rPr>
        <w:t>One final food bank distribution was completed in Q4 with</w:t>
      </w:r>
      <w:r w:rsidR="00C7298B">
        <w:rPr>
          <w:rFonts w:ascii="Calibri" w:eastAsia="Times New Roman" w:hAnsi="Calibri" w:cs="Calibri"/>
          <w:sz w:val="24"/>
          <w:szCs w:val="24"/>
        </w:rPr>
        <w:t xml:space="preserve"> the</w:t>
      </w:r>
      <w:r>
        <w:rPr>
          <w:rFonts w:ascii="Calibri" w:eastAsia="Times New Roman" w:hAnsi="Calibri" w:cs="Calibri"/>
          <w:sz w:val="24"/>
          <w:szCs w:val="24"/>
        </w:rPr>
        <w:t xml:space="preserve"> Atlanta Community Food Bank to distribute 19,200 Energy Star LEDs.</w:t>
      </w:r>
      <w:bookmarkEnd w:id="4"/>
    </w:p>
    <w:p w14:paraId="58AD72C2" w14:textId="77777777" w:rsidR="007E6E99" w:rsidRPr="0027793F" w:rsidRDefault="007E6E99" w:rsidP="007E6E99">
      <w:pPr>
        <w:spacing w:after="0" w:line="276" w:lineRule="auto"/>
        <w:ind w:left="2160"/>
        <w:contextualSpacing/>
        <w:rPr>
          <w:rFonts w:ascii="Calibri" w:eastAsia="Times New Roman" w:hAnsi="Calibri" w:cs="Calibri"/>
          <w:sz w:val="24"/>
          <w:szCs w:val="24"/>
        </w:rPr>
      </w:pPr>
    </w:p>
    <w:p w14:paraId="7A5E88FF" w14:textId="77777777" w:rsidR="0027793F" w:rsidRPr="00F5486C" w:rsidRDefault="0027793F" w:rsidP="0027793F">
      <w:pPr>
        <w:numPr>
          <w:ilvl w:val="0"/>
          <w:numId w:val="2"/>
        </w:numPr>
        <w:spacing w:after="0" w:line="276" w:lineRule="auto"/>
        <w:contextualSpacing/>
        <w:rPr>
          <w:rFonts w:ascii="Calibri" w:eastAsia="Times New Roman" w:hAnsi="Calibri" w:cs="Calibri"/>
          <w:sz w:val="24"/>
          <w:szCs w:val="24"/>
        </w:rPr>
      </w:pPr>
      <w:r w:rsidRPr="00F5486C">
        <w:rPr>
          <w:rFonts w:ascii="Calibri" w:eastAsia="Times New Roman" w:hAnsi="Calibri" w:cs="Calibri"/>
          <w:sz w:val="24"/>
          <w:szCs w:val="24"/>
        </w:rPr>
        <w:t>Behavioral</w:t>
      </w:r>
    </w:p>
    <w:p w14:paraId="17BA922E" w14:textId="77777777" w:rsidR="0027793F" w:rsidRPr="00744A9F" w:rsidRDefault="0027793F" w:rsidP="0027793F">
      <w:pPr>
        <w:numPr>
          <w:ilvl w:val="1"/>
          <w:numId w:val="2"/>
        </w:numPr>
        <w:spacing w:after="0" w:line="276" w:lineRule="auto"/>
        <w:contextualSpacing/>
        <w:rPr>
          <w:rFonts w:eastAsiaTheme="minorEastAsia"/>
          <w:sz w:val="24"/>
          <w:szCs w:val="24"/>
        </w:rPr>
      </w:pPr>
      <w:bookmarkStart w:id="5" w:name="_Hlk39492727"/>
      <w:bookmarkStart w:id="6" w:name="_Hlk39492809"/>
      <w:r w:rsidRPr="4FF4F3D4">
        <w:rPr>
          <w:rFonts w:ascii="Calibri" w:eastAsia="Times New Roman" w:hAnsi="Calibri" w:cs="Calibri"/>
          <w:sz w:val="24"/>
          <w:szCs w:val="24"/>
        </w:rPr>
        <w:t>Program</w:t>
      </w:r>
      <w:r w:rsidRPr="483DE8A6">
        <w:rPr>
          <w:rFonts w:ascii="Calibri" w:eastAsia="Times New Roman" w:hAnsi="Calibri" w:cs="Calibri"/>
          <w:sz w:val="24"/>
          <w:szCs w:val="24"/>
        </w:rPr>
        <w:t xml:space="preserve"> </w:t>
      </w:r>
      <w:r w:rsidRPr="001129D6">
        <w:rPr>
          <w:rFonts w:ascii="Calibri" w:eastAsia="Times New Roman" w:hAnsi="Calibri" w:cs="Calibri"/>
          <w:sz w:val="24"/>
          <w:szCs w:val="24"/>
        </w:rPr>
        <w:t>achieved 1,938,210</w:t>
      </w:r>
      <w:r w:rsidRPr="00744A9F">
        <w:rPr>
          <w:rFonts w:ascii="Calibri" w:eastAsia="Times New Roman" w:hAnsi="Calibri" w:cs="Calibri"/>
          <w:sz w:val="24"/>
          <w:szCs w:val="24"/>
        </w:rPr>
        <w:t> kWh </w:t>
      </w:r>
      <w:r>
        <w:rPr>
          <w:rFonts w:ascii="Calibri" w:eastAsia="Times New Roman" w:hAnsi="Calibri" w:cs="Calibri"/>
          <w:sz w:val="24"/>
          <w:szCs w:val="24"/>
        </w:rPr>
        <w:t xml:space="preserve">through </w:t>
      </w:r>
      <w:r w:rsidRPr="198E07D1">
        <w:rPr>
          <w:rFonts w:ascii="Calibri" w:eastAsia="Times New Roman" w:hAnsi="Calibri" w:cs="Calibri"/>
          <w:sz w:val="24"/>
          <w:szCs w:val="24"/>
        </w:rPr>
        <w:t>carry over savings from</w:t>
      </w:r>
      <w:r>
        <w:rPr>
          <w:rFonts w:ascii="Calibri" w:eastAsia="Times New Roman" w:hAnsi="Calibri" w:cs="Calibri"/>
          <w:sz w:val="24"/>
          <w:szCs w:val="24"/>
        </w:rPr>
        <w:t xml:space="preserve"> the</w:t>
      </w:r>
      <w:r w:rsidRPr="198E07D1">
        <w:rPr>
          <w:rFonts w:ascii="Calibri" w:eastAsia="Times New Roman" w:hAnsi="Calibri" w:cs="Calibri"/>
          <w:sz w:val="24"/>
          <w:szCs w:val="24"/>
        </w:rPr>
        <w:t xml:space="preserve"> 2019 </w:t>
      </w:r>
      <w:r w:rsidRPr="00744A9F">
        <w:rPr>
          <w:rFonts w:ascii="Calibri" w:eastAsia="Times New Roman" w:hAnsi="Calibri" w:cs="Calibri"/>
          <w:sz w:val="24"/>
          <w:szCs w:val="24"/>
        </w:rPr>
        <w:t>H</w:t>
      </w:r>
      <w:r>
        <w:rPr>
          <w:rFonts w:ascii="Calibri" w:eastAsia="Times New Roman" w:hAnsi="Calibri" w:cs="Calibri"/>
          <w:sz w:val="24"/>
          <w:szCs w:val="24"/>
        </w:rPr>
        <w:t xml:space="preserve">ome Energy </w:t>
      </w:r>
      <w:r w:rsidRPr="00744A9F">
        <w:rPr>
          <w:rFonts w:ascii="Calibri" w:eastAsia="Times New Roman" w:hAnsi="Calibri" w:cs="Calibri"/>
          <w:sz w:val="24"/>
          <w:szCs w:val="24"/>
        </w:rPr>
        <w:t>R</w:t>
      </w:r>
      <w:r>
        <w:rPr>
          <w:rFonts w:ascii="Calibri" w:eastAsia="Times New Roman" w:hAnsi="Calibri" w:cs="Calibri"/>
          <w:sz w:val="24"/>
          <w:szCs w:val="24"/>
        </w:rPr>
        <w:t>eport</w:t>
      </w:r>
      <w:r w:rsidRPr="00744A9F">
        <w:rPr>
          <w:rFonts w:ascii="Calibri" w:eastAsia="Times New Roman" w:hAnsi="Calibri" w:cs="Calibri"/>
          <w:sz w:val="24"/>
          <w:szCs w:val="24"/>
        </w:rPr>
        <w:t xml:space="preserve"> </w:t>
      </w:r>
      <w:r>
        <w:rPr>
          <w:rFonts w:ascii="Calibri" w:eastAsia="Times New Roman" w:hAnsi="Calibri" w:cs="Calibri"/>
          <w:sz w:val="24"/>
          <w:szCs w:val="24"/>
        </w:rPr>
        <w:t xml:space="preserve">(“HER”) </w:t>
      </w:r>
      <w:r w:rsidRPr="00744A9F">
        <w:rPr>
          <w:rFonts w:ascii="Calibri" w:eastAsia="Times New Roman" w:hAnsi="Calibri" w:cs="Calibri"/>
          <w:sz w:val="24"/>
          <w:szCs w:val="24"/>
        </w:rPr>
        <w:t>Program</w:t>
      </w:r>
      <w:r>
        <w:rPr>
          <w:rFonts w:ascii="Calibri" w:eastAsia="Times New Roman" w:hAnsi="Calibri" w:cs="Calibri"/>
          <w:sz w:val="24"/>
          <w:szCs w:val="24"/>
        </w:rPr>
        <w:t>.</w:t>
      </w:r>
    </w:p>
    <w:p w14:paraId="6B86A5C8" w14:textId="77777777" w:rsidR="0027793F" w:rsidRDefault="0027793F" w:rsidP="0027793F">
      <w:pPr>
        <w:numPr>
          <w:ilvl w:val="1"/>
          <w:numId w:val="2"/>
        </w:numPr>
        <w:tabs>
          <w:tab w:val="num" w:pos="720"/>
        </w:tabs>
        <w:spacing w:after="0" w:line="276" w:lineRule="auto"/>
        <w:contextualSpacing/>
        <w:rPr>
          <w:rFonts w:ascii="Calibri" w:eastAsia="Times New Roman" w:hAnsi="Calibri" w:cs="Calibri"/>
          <w:sz w:val="24"/>
          <w:szCs w:val="24"/>
        </w:rPr>
      </w:pPr>
      <w:r w:rsidRPr="00744A9F">
        <w:rPr>
          <w:rFonts w:ascii="Calibri" w:eastAsia="Times New Roman" w:hAnsi="Calibri" w:cs="Calibri"/>
          <w:sz w:val="24"/>
          <w:szCs w:val="24"/>
        </w:rPr>
        <w:t xml:space="preserve">Program officially launched with </w:t>
      </w:r>
      <w:r>
        <w:rPr>
          <w:rFonts w:ascii="Calibri" w:eastAsia="Times New Roman" w:hAnsi="Calibri" w:cs="Calibri"/>
          <w:sz w:val="24"/>
          <w:szCs w:val="24"/>
        </w:rPr>
        <w:t xml:space="preserve">approximately </w:t>
      </w:r>
      <w:r w:rsidRPr="00744A9F">
        <w:rPr>
          <w:rFonts w:ascii="Calibri" w:eastAsia="Times New Roman" w:hAnsi="Calibri" w:cs="Calibri"/>
          <w:sz w:val="24"/>
          <w:szCs w:val="24"/>
        </w:rPr>
        <w:t>188k paper HER</w:t>
      </w:r>
      <w:r>
        <w:rPr>
          <w:rFonts w:ascii="Calibri" w:eastAsia="Times New Roman" w:hAnsi="Calibri" w:cs="Calibri"/>
          <w:sz w:val="24"/>
          <w:szCs w:val="24"/>
        </w:rPr>
        <w:t>s</w:t>
      </w:r>
      <w:r w:rsidRPr="00744A9F">
        <w:rPr>
          <w:rFonts w:ascii="Calibri" w:eastAsia="Times New Roman" w:hAnsi="Calibri" w:cs="Calibri"/>
          <w:sz w:val="24"/>
          <w:szCs w:val="24"/>
        </w:rPr>
        <w:t xml:space="preserve"> sent on May 15</w:t>
      </w:r>
      <w:r w:rsidRPr="00744A9F">
        <w:rPr>
          <w:rFonts w:ascii="Calibri" w:eastAsia="Times New Roman" w:hAnsi="Calibri" w:cs="Calibri"/>
          <w:sz w:val="24"/>
          <w:szCs w:val="24"/>
          <w:vertAlign w:val="superscript"/>
        </w:rPr>
        <w:t>th</w:t>
      </w:r>
      <w:r w:rsidRPr="00744A9F">
        <w:rPr>
          <w:rFonts w:ascii="Calibri" w:eastAsia="Times New Roman" w:hAnsi="Calibri" w:cs="Calibri"/>
          <w:sz w:val="24"/>
          <w:szCs w:val="24"/>
        </w:rPr>
        <w:t xml:space="preserve"> and </w:t>
      </w:r>
      <w:r>
        <w:rPr>
          <w:rFonts w:ascii="Calibri" w:eastAsia="Times New Roman" w:hAnsi="Calibri" w:cs="Calibri"/>
          <w:sz w:val="24"/>
          <w:szCs w:val="24"/>
        </w:rPr>
        <w:t xml:space="preserve">approximately </w:t>
      </w:r>
      <w:r w:rsidRPr="00744A9F">
        <w:rPr>
          <w:rFonts w:ascii="Calibri" w:eastAsia="Times New Roman" w:hAnsi="Calibri" w:cs="Calibri"/>
          <w:sz w:val="24"/>
          <w:szCs w:val="24"/>
        </w:rPr>
        <w:t>another 175k eHERs were emailed starting May 19</w:t>
      </w:r>
      <w:r w:rsidRPr="00744A9F">
        <w:rPr>
          <w:rFonts w:ascii="Calibri" w:eastAsia="Times New Roman" w:hAnsi="Calibri" w:cs="Calibri"/>
          <w:sz w:val="24"/>
          <w:szCs w:val="24"/>
          <w:vertAlign w:val="superscript"/>
        </w:rPr>
        <w:t>th</w:t>
      </w:r>
      <w:r w:rsidRPr="00744A9F">
        <w:rPr>
          <w:rFonts w:ascii="Calibri" w:eastAsia="Times New Roman" w:hAnsi="Calibri" w:cs="Calibri"/>
          <w:sz w:val="24"/>
          <w:szCs w:val="24"/>
        </w:rPr>
        <w:t>. </w:t>
      </w:r>
    </w:p>
    <w:p w14:paraId="2792D6E7" w14:textId="50947348" w:rsidR="0027793F" w:rsidRPr="00744A9F" w:rsidRDefault="0027793F" w:rsidP="0027793F">
      <w:pPr>
        <w:numPr>
          <w:ilvl w:val="1"/>
          <w:numId w:val="2"/>
        </w:numPr>
        <w:spacing w:after="0" w:line="276" w:lineRule="auto"/>
        <w:contextualSpacing/>
        <w:rPr>
          <w:rFonts w:ascii="Calibri" w:eastAsia="Times New Roman" w:hAnsi="Calibri" w:cs="Calibri"/>
          <w:sz w:val="24"/>
          <w:szCs w:val="24"/>
        </w:rPr>
      </w:pPr>
      <w:r w:rsidRPr="054D6A60">
        <w:rPr>
          <w:rFonts w:ascii="Calibri" w:eastAsia="Times New Roman" w:hAnsi="Calibri" w:cs="Calibri"/>
          <w:sz w:val="24"/>
          <w:szCs w:val="24"/>
        </w:rPr>
        <w:t>In Q</w:t>
      </w:r>
      <w:r w:rsidR="00F5486C">
        <w:rPr>
          <w:rFonts w:ascii="Calibri" w:eastAsia="Times New Roman" w:hAnsi="Calibri" w:cs="Calibri"/>
          <w:sz w:val="24"/>
          <w:szCs w:val="24"/>
        </w:rPr>
        <w:t>4</w:t>
      </w:r>
      <w:r w:rsidRPr="054D6A60">
        <w:rPr>
          <w:rFonts w:ascii="Calibri" w:eastAsia="Times New Roman" w:hAnsi="Calibri" w:cs="Calibri"/>
          <w:sz w:val="24"/>
          <w:szCs w:val="24"/>
        </w:rPr>
        <w:t xml:space="preserve">, the program </w:t>
      </w:r>
      <w:r w:rsidRPr="5F1722D5">
        <w:rPr>
          <w:rFonts w:ascii="Calibri" w:eastAsia="Times New Roman" w:hAnsi="Calibri" w:cs="Calibri"/>
          <w:sz w:val="24"/>
          <w:szCs w:val="24"/>
        </w:rPr>
        <w:t xml:space="preserve">achieved </w:t>
      </w:r>
      <w:bookmarkStart w:id="7" w:name="_Hlk61294816"/>
      <w:r w:rsidR="00F5486C">
        <w:rPr>
          <w:rFonts w:ascii="Calibri" w:eastAsia="Times New Roman" w:hAnsi="Calibri" w:cs="Calibri"/>
          <w:sz w:val="24"/>
          <w:szCs w:val="24"/>
        </w:rPr>
        <w:t xml:space="preserve">7,950,212 </w:t>
      </w:r>
      <w:bookmarkEnd w:id="7"/>
      <w:r w:rsidRPr="00744A9F">
        <w:rPr>
          <w:rFonts w:ascii="Calibri" w:eastAsia="Times New Roman" w:hAnsi="Calibri" w:cs="Calibri"/>
          <w:sz w:val="24"/>
          <w:szCs w:val="24"/>
        </w:rPr>
        <w:t>kWh through Uplight legacy and ramping new program participants</w:t>
      </w:r>
      <w:r>
        <w:rPr>
          <w:rFonts w:ascii="Calibri" w:eastAsia="Times New Roman" w:hAnsi="Calibri" w:cs="Calibri"/>
          <w:sz w:val="24"/>
          <w:szCs w:val="24"/>
        </w:rPr>
        <w:t>.</w:t>
      </w:r>
      <w:r w:rsidRPr="00744A9F">
        <w:rPr>
          <w:rFonts w:ascii="Calibri" w:eastAsia="Times New Roman" w:hAnsi="Calibri" w:cs="Calibri"/>
          <w:sz w:val="24"/>
          <w:szCs w:val="24"/>
        </w:rPr>
        <w:t> </w:t>
      </w:r>
    </w:p>
    <w:p w14:paraId="2A68B003" w14:textId="1AFEEEFD" w:rsidR="0027793F" w:rsidRDefault="00BB5825" w:rsidP="0027793F">
      <w:pPr>
        <w:numPr>
          <w:ilvl w:val="1"/>
          <w:numId w:val="2"/>
        </w:numPr>
        <w:tabs>
          <w:tab w:val="num" w:pos="720"/>
        </w:tabs>
        <w:spacing w:after="0" w:line="276" w:lineRule="auto"/>
        <w:contextualSpacing/>
        <w:rPr>
          <w:rFonts w:ascii="Calibri" w:eastAsia="Times New Roman" w:hAnsi="Calibri" w:cs="Calibri"/>
          <w:sz w:val="24"/>
          <w:szCs w:val="24"/>
        </w:rPr>
      </w:pPr>
      <w:r>
        <w:rPr>
          <w:rFonts w:ascii="Calibri" w:eastAsia="Times New Roman" w:hAnsi="Calibri" w:cs="Calibri"/>
          <w:sz w:val="24"/>
          <w:szCs w:val="24"/>
        </w:rPr>
        <w:t>In 2020</w:t>
      </w:r>
      <w:r w:rsidR="0027793F" w:rsidRPr="46142F53">
        <w:rPr>
          <w:rFonts w:ascii="Calibri" w:eastAsia="Times New Roman" w:hAnsi="Calibri" w:cs="Calibri"/>
          <w:sz w:val="24"/>
          <w:szCs w:val="24"/>
        </w:rPr>
        <w:t xml:space="preserve"> the program achieved </w:t>
      </w:r>
      <w:r w:rsidR="00F5486C">
        <w:rPr>
          <w:rFonts w:ascii="Calibri" w:eastAsia="Times New Roman" w:hAnsi="Calibri" w:cs="Calibri"/>
          <w:sz w:val="24"/>
          <w:szCs w:val="24"/>
        </w:rPr>
        <w:t xml:space="preserve">26,302,769 </w:t>
      </w:r>
      <w:r w:rsidR="0027793F" w:rsidRPr="46142F53">
        <w:rPr>
          <w:rFonts w:ascii="Calibri" w:eastAsia="Times New Roman" w:hAnsi="Calibri" w:cs="Calibri"/>
          <w:sz w:val="24"/>
          <w:szCs w:val="24"/>
        </w:rPr>
        <w:t xml:space="preserve">kWh savings through </w:t>
      </w:r>
      <w:r w:rsidR="0027793F" w:rsidRPr="00F5486C">
        <w:rPr>
          <w:rFonts w:ascii="Calibri" w:eastAsia="Times New Roman" w:hAnsi="Calibri" w:cs="Calibri"/>
          <w:sz w:val="24"/>
          <w:szCs w:val="24"/>
        </w:rPr>
        <w:t>Q4,</w:t>
      </w:r>
      <w:r w:rsidR="0027793F" w:rsidRPr="46142F53">
        <w:rPr>
          <w:rFonts w:ascii="Calibri" w:eastAsia="Times New Roman" w:hAnsi="Calibri" w:cs="Calibri"/>
          <w:sz w:val="24"/>
          <w:szCs w:val="24"/>
        </w:rPr>
        <w:t xml:space="preserve"> which represents </w:t>
      </w:r>
      <w:r w:rsidR="00F5486C">
        <w:rPr>
          <w:rFonts w:ascii="Calibri" w:eastAsia="Times New Roman" w:hAnsi="Calibri" w:cs="Calibri"/>
          <w:sz w:val="24"/>
          <w:szCs w:val="24"/>
        </w:rPr>
        <w:t xml:space="preserve">69.04% </w:t>
      </w:r>
      <w:r w:rsidR="0027793F" w:rsidRPr="46142F53">
        <w:rPr>
          <w:rFonts w:ascii="Calibri" w:eastAsia="Times New Roman" w:hAnsi="Calibri" w:cs="Calibri"/>
          <w:sz w:val="24"/>
          <w:szCs w:val="24"/>
        </w:rPr>
        <w:t>of the kWh savings goal. </w:t>
      </w:r>
    </w:p>
    <w:p w14:paraId="723A9EFA" w14:textId="77777777" w:rsidR="007E6E99" w:rsidRPr="0027793F" w:rsidRDefault="007E6E99" w:rsidP="007E6E99">
      <w:pPr>
        <w:spacing w:after="0" w:line="276" w:lineRule="auto"/>
        <w:ind w:left="1440"/>
        <w:contextualSpacing/>
        <w:rPr>
          <w:rFonts w:ascii="Calibri" w:eastAsia="Times New Roman" w:hAnsi="Calibri" w:cs="Calibri"/>
          <w:sz w:val="24"/>
          <w:szCs w:val="24"/>
        </w:rPr>
      </w:pPr>
    </w:p>
    <w:bookmarkEnd w:id="5"/>
    <w:bookmarkEnd w:id="6"/>
    <w:p w14:paraId="1443759B" w14:textId="77777777" w:rsidR="0027793F" w:rsidRPr="00F5486C" w:rsidRDefault="0027793F" w:rsidP="0027793F">
      <w:pPr>
        <w:numPr>
          <w:ilvl w:val="0"/>
          <w:numId w:val="2"/>
        </w:numPr>
        <w:spacing w:after="0" w:line="276" w:lineRule="auto"/>
        <w:contextualSpacing/>
        <w:rPr>
          <w:rFonts w:ascii="Calibri" w:eastAsia="Times New Roman" w:hAnsi="Calibri" w:cs="Calibri"/>
          <w:sz w:val="24"/>
          <w:szCs w:val="24"/>
        </w:rPr>
      </w:pPr>
      <w:r w:rsidRPr="00F5486C">
        <w:rPr>
          <w:rFonts w:ascii="Calibri" w:eastAsia="Times New Roman" w:hAnsi="Calibri" w:cs="Calibri"/>
          <w:sz w:val="24"/>
          <w:szCs w:val="24"/>
        </w:rPr>
        <w:t>Refrigerator Recycling</w:t>
      </w:r>
    </w:p>
    <w:p w14:paraId="48AB99EC" w14:textId="77777777" w:rsidR="0027793F" w:rsidRPr="00F5486C" w:rsidRDefault="0027793F" w:rsidP="0027793F">
      <w:pPr>
        <w:numPr>
          <w:ilvl w:val="1"/>
          <w:numId w:val="2"/>
        </w:numPr>
        <w:spacing w:after="0" w:line="276" w:lineRule="auto"/>
        <w:contextualSpacing/>
        <w:rPr>
          <w:rFonts w:ascii="Calibri" w:eastAsia="Times New Roman" w:hAnsi="Calibri" w:cs="Calibri"/>
          <w:sz w:val="24"/>
          <w:szCs w:val="24"/>
        </w:rPr>
      </w:pPr>
      <w:r w:rsidRPr="00F5486C">
        <w:rPr>
          <w:rFonts w:ascii="Calibri" w:eastAsia="Times New Roman" w:hAnsi="Calibri" w:cs="Calibri"/>
          <w:sz w:val="24"/>
          <w:szCs w:val="24"/>
        </w:rPr>
        <w:t xml:space="preserve">Program was paused in mid-March, less than a week after launch, due to the COVID-19 pandemic. Prior to the pause of the program, 33,874 kWh savings were achieved and $1,120 in rebates were paid. </w:t>
      </w:r>
    </w:p>
    <w:p w14:paraId="7016D15C" w14:textId="18CCAB6A" w:rsidR="0027793F" w:rsidRPr="00F5486C" w:rsidRDefault="0027793F" w:rsidP="0027793F">
      <w:pPr>
        <w:numPr>
          <w:ilvl w:val="1"/>
          <w:numId w:val="2"/>
        </w:numPr>
        <w:spacing w:after="0" w:line="276" w:lineRule="auto"/>
        <w:contextualSpacing/>
        <w:rPr>
          <w:rFonts w:ascii="Calibri" w:eastAsia="Times New Roman" w:hAnsi="Calibri" w:cs="Calibri"/>
          <w:sz w:val="24"/>
          <w:szCs w:val="24"/>
        </w:rPr>
      </w:pPr>
      <w:r w:rsidRPr="00F5486C">
        <w:rPr>
          <w:rFonts w:ascii="Calibri" w:eastAsia="Times New Roman" w:hAnsi="Calibri" w:cs="Calibri"/>
          <w:sz w:val="24"/>
          <w:szCs w:val="24"/>
        </w:rPr>
        <w:lastRenderedPageBreak/>
        <w:t xml:space="preserve">Program re-opened </w:t>
      </w:r>
      <w:r w:rsidR="00810AFB">
        <w:rPr>
          <w:rFonts w:ascii="Calibri" w:eastAsia="Times New Roman" w:hAnsi="Calibri" w:cs="Calibri"/>
          <w:sz w:val="24"/>
          <w:szCs w:val="24"/>
        </w:rPr>
        <w:t xml:space="preserve">in </w:t>
      </w:r>
      <w:r w:rsidRPr="00F5486C">
        <w:rPr>
          <w:rFonts w:ascii="Calibri" w:eastAsia="Times New Roman" w:hAnsi="Calibri" w:cs="Calibri"/>
          <w:sz w:val="24"/>
          <w:szCs w:val="24"/>
        </w:rPr>
        <w:t>mid-November with outside pick-ups only and COVID protocol</w:t>
      </w:r>
      <w:r w:rsidR="00810AFB">
        <w:rPr>
          <w:rFonts w:ascii="Calibri" w:eastAsia="Times New Roman" w:hAnsi="Calibri" w:cs="Calibri"/>
          <w:sz w:val="24"/>
          <w:szCs w:val="24"/>
        </w:rPr>
        <w:t>s</w:t>
      </w:r>
      <w:r w:rsidRPr="00F5486C">
        <w:rPr>
          <w:rFonts w:ascii="Calibri" w:eastAsia="Times New Roman" w:hAnsi="Calibri" w:cs="Calibri"/>
          <w:sz w:val="24"/>
          <w:szCs w:val="24"/>
        </w:rPr>
        <w:t xml:space="preserve"> observed to ensure safety and wellness for customers and contractors</w:t>
      </w:r>
      <w:r w:rsidR="00AC29A1">
        <w:rPr>
          <w:rFonts w:ascii="Calibri" w:eastAsia="Times New Roman" w:hAnsi="Calibri" w:cs="Calibri"/>
          <w:sz w:val="24"/>
          <w:szCs w:val="24"/>
        </w:rPr>
        <w:t>.</w:t>
      </w:r>
    </w:p>
    <w:p w14:paraId="68F750B2" w14:textId="550A6720" w:rsidR="0027793F" w:rsidRPr="00782EC8" w:rsidRDefault="0027793F" w:rsidP="0027793F">
      <w:pPr>
        <w:numPr>
          <w:ilvl w:val="1"/>
          <w:numId w:val="2"/>
        </w:numPr>
        <w:spacing w:after="0" w:line="276" w:lineRule="auto"/>
        <w:contextualSpacing/>
        <w:rPr>
          <w:rFonts w:ascii="Calibri" w:eastAsia="Times New Roman" w:hAnsi="Calibri" w:cs="Calibri"/>
          <w:sz w:val="24"/>
          <w:szCs w:val="24"/>
        </w:rPr>
      </w:pPr>
      <w:r w:rsidRPr="00782EC8">
        <w:rPr>
          <w:rFonts w:ascii="Calibri" w:eastAsia="Times New Roman" w:hAnsi="Calibri" w:cs="Calibri"/>
          <w:sz w:val="24"/>
          <w:szCs w:val="24"/>
        </w:rPr>
        <w:t xml:space="preserve">Initiated limited marketing via social media and email campaign to raise program awareness due to </w:t>
      </w:r>
      <w:r w:rsidR="00EE3596">
        <w:rPr>
          <w:rFonts w:ascii="Calibri" w:eastAsia="Times New Roman" w:hAnsi="Calibri" w:cs="Calibri"/>
          <w:sz w:val="24"/>
          <w:szCs w:val="24"/>
        </w:rPr>
        <w:t xml:space="preserve">the </w:t>
      </w:r>
      <w:r w:rsidRPr="00782EC8">
        <w:rPr>
          <w:rFonts w:ascii="Calibri" w:eastAsia="Times New Roman" w:hAnsi="Calibri" w:cs="Calibri"/>
          <w:sz w:val="24"/>
          <w:szCs w:val="24"/>
        </w:rPr>
        <w:t>program</w:t>
      </w:r>
      <w:r w:rsidR="00EE3596">
        <w:rPr>
          <w:rFonts w:ascii="Calibri" w:eastAsia="Times New Roman" w:hAnsi="Calibri" w:cs="Calibri"/>
          <w:sz w:val="24"/>
          <w:szCs w:val="24"/>
        </w:rPr>
        <w:t>’s</w:t>
      </w:r>
      <w:r w:rsidRPr="00782EC8">
        <w:rPr>
          <w:rFonts w:ascii="Calibri" w:eastAsia="Times New Roman" w:hAnsi="Calibri" w:cs="Calibri"/>
          <w:sz w:val="24"/>
          <w:szCs w:val="24"/>
        </w:rPr>
        <w:t xml:space="preserve"> pause for most of 2020</w:t>
      </w:r>
      <w:r w:rsidR="00782EC8">
        <w:rPr>
          <w:rFonts w:ascii="Calibri" w:eastAsia="Times New Roman" w:hAnsi="Calibri" w:cs="Calibri"/>
          <w:sz w:val="24"/>
          <w:szCs w:val="24"/>
        </w:rPr>
        <w:t>.</w:t>
      </w:r>
    </w:p>
    <w:p w14:paraId="497EE090" w14:textId="69C1E357" w:rsidR="0027793F" w:rsidRPr="00782EC8" w:rsidRDefault="0027793F" w:rsidP="0027793F">
      <w:pPr>
        <w:numPr>
          <w:ilvl w:val="2"/>
          <w:numId w:val="2"/>
        </w:numPr>
        <w:spacing w:after="0" w:line="276" w:lineRule="auto"/>
        <w:contextualSpacing/>
        <w:rPr>
          <w:rFonts w:ascii="Calibri" w:eastAsia="Times New Roman" w:hAnsi="Calibri" w:cs="Calibri"/>
          <w:sz w:val="24"/>
          <w:szCs w:val="24"/>
        </w:rPr>
      </w:pPr>
      <w:r w:rsidRPr="00782EC8">
        <w:rPr>
          <w:rFonts w:ascii="Calibri" w:eastAsia="Times New Roman" w:hAnsi="Calibri" w:cs="Calibri"/>
          <w:sz w:val="24"/>
          <w:szCs w:val="24"/>
        </w:rPr>
        <w:t>Achieved 9.2</w:t>
      </w:r>
      <w:r w:rsidR="00782EC8" w:rsidRPr="00782EC8">
        <w:rPr>
          <w:rFonts w:ascii="Calibri" w:eastAsia="Times New Roman" w:hAnsi="Calibri" w:cs="Calibri"/>
          <w:sz w:val="24"/>
          <w:szCs w:val="24"/>
        </w:rPr>
        <w:t>0</w:t>
      </w:r>
      <w:r w:rsidRPr="00782EC8">
        <w:rPr>
          <w:rFonts w:ascii="Calibri" w:eastAsia="Times New Roman" w:hAnsi="Calibri" w:cs="Calibri"/>
          <w:sz w:val="24"/>
          <w:szCs w:val="24"/>
        </w:rPr>
        <w:t xml:space="preserve">% of </w:t>
      </w:r>
      <w:r w:rsidR="00833B3B">
        <w:rPr>
          <w:rFonts w:ascii="Calibri" w:eastAsia="Times New Roman" w:hAnsi="Calibri" w:cs="Calibri"/>
          <w:sz w:val="24"/>
          <w:szCs w:val="24"/>
        </w:rPr>
        <w:t>filed</w:t>
      </w:r>
      <w:r w:rsidR="00833B3B" w:rsidRPr="00782EC8">
        <w:rPr>
          <w:rFonts w:ascii="Calibri" w:eastAsia="Times New Roman" w:hAnsi="Calibri" w:cs="Calibri"/>
          <w:sz w:val="24"/>
          <w:szCs w:val="24"/>
        </w:rPr>
        <w:t xml:space="preserve"> </w:t>
      </w:r>
      <w:r w:rsidRPr="00782EC8">
        <w:rPr>
          <w:rFonts w:ascii="Calibri" w:eastAsia="Times New Roman" w:hAnsi="Calibri" w:cs="Calibri"/>
          <w:sz w:val="24"/>
          <w:szCs w:val="24"/>
        </w:rPr>
        <w:t>goal for 2020</w:t>
      </w:r>
      <w:r w:rsidR="00782EC8">
        <w:rPr>
          <w:rFonts w:ascii="Calibri" w:eastAsia="Times New Roman" w:hAnsi="Calibri" w:cs="Calibri"/>
          <w:sz w:val="24"/>
          <w:szCs w:val="24"/>
        </w:rPr>
        <w:t>.</w:t>
      </w:r>
    </w:p>
    <w:p w14:paraId="46F35CDC" w14:textId="78F948DB" w:rsidR="0027793F" w:rsidRPr="00782EC8" w:rsidRDefault="0027793F" w:rsidP="0027793F">
      <w:pPr>
        <w:numPr>
          <w:ilvl w:val="2"/>
          <w:numId w:val="2"/>
        </w:numPr>
        <w:spacing w:after="0" w:line="276" w:lineRule="auto"/>
        <w:contextualSpacing/>
        <w:rPr>
          <w:rFonts w:ascii="Calibri" w:eastAsia="Times New Roman" w:hAnsi="Calibri" w:cs="Calibri"/>
          <w:sz w:val="24"/>
          <w:szCs w:val="24"/>
        </w:rPr>
      </w:pPr>
      <w:r w:rsidRPr="00782EC8">
        <w:rPr>
          <w:rFonts w:ascii="Calibri" w:eastAsia="Times New Roman" w:hAnsi="Calibri" w:cs="Calibri"/>
          <w:sz w:val="24"/>
          <w:szCs w:val="24"/>
        </w:rPr>
        <w:t xml:space="preserve">735 total units </w:t>
      </w:r>
      <w:r w:rsidR="00631321">
        <w:rPr>
          <w:rFonts w:ascii="Calibri" w:eastAsia="Times New Roman" w:hAnsi="Calibri" w:cs="Calibri"/>
          <w:sz w:val="24"/>
          <w:szCs w:val="24"/>
        </w:rPr>
        <w:t xml:space="preserve">picked up </w:t>
      </w:r>
      <w:r w:rsidR="00782EC8">
        <w:rPr>
          <w:rFonts w:ascii="Calibri" w:eastAsia="Times New Roman" w:hAnsi="Calibri" w:cs="Calibri"/>
          <w:sz w:val="24"/>
          <w:szCs w:val="24"/>
        </w:rPr>
        <w:t>in 2020.</w:t>
      </w:r>
    </w:p>
    <w:p w14:paraId="1FA56191" w14:textId="6DBD776C" w:rsidR="0027793F" w:rsidRPr="00782EC8" w:rsidRDefault="0027793F" w:rsidP="0027793F">
      <w:pPr>
        <w:numPr>
          <w:ilvl w:val="2"/>
          <w:numId w:val="2"/>
        </w:numPr>
        <w:spacing w:after="0" w:line="276" w:lineRule="auto"/>
        <w:contextualSpacing/>
        <w:rPr>
          <w:rFonts w:ascii="Calibri" w:eastAsia="Times New Roman" w:hAnsi="Calibri" w:cs="Calibri"/>
          <w:sz w:val="24"/>
          <w:szCs w:val="24"/>
        </w:rPr>
      </w:pPr>
      <w:r w:rsidRPr="00782EC8">
        <w:rPr>
          <w:rFonts w:ascii="Calibri" w:eastAsia="Times New Roman" w:hAnsi="Calibri" w:cs="Calibri"/>
          <w:sz w:val="24"/>
          <w:szCs w:val="24"/>
        </w:rPr>
        <w:t>780,215 kWh savings</w:t>
      </w:r>
      <w:r w:rsidR="00782EC8" w:rsidRPr="00782EC8">
        <w:rPr>
          <w:rFonts w:ascii="Calibri" w:eastAsia="Times New Roman" w:hAnsi="Calibri" w:cs="Calibri"/>
          <w:sz w:val="24"/>
          <w:szCs w:val="24"/>
        </w:rPr>
        <w:t xml:space="preserve"> </w:t>
      </w:r>
      <w:r w:rsidR="00782EC8">
        <w:rPr>
          <w:rFonts w:ascii="Calibri" w:eastAsia="Times New Roman" w:hAnsi="Calibri" w:cs="Calibri"/>
          <w:sz w:val="24"/>
          <w:szCs w:val="24"/>
        </w:rPr>
        <w:t>in 2020.</w:t>
      </w:r>
    </w:p>
    <w:p w14:paraId="3ADA48E4" w14:textId="095A40E3" w:rsidR="0027793F" w:rsidRDefault="0027793F" w:rsidP="0027793F">
      <w:pPr>
        <w:numPr>
          <w:ilvl w:val="2"/>
          <w:numId w:val="2"/>
        </w:numPr>
        <w:spacing w:after="0" w:line="276" w:lineRule="auto"/>
        <w:contextualSpacing/>
        <w:rPr>
          <w:rFonts w:ascii="Calibri" w:eastAsia="Times New Roman" w:hAnsi="Calibri" w:cs="Calibri"/>
          <w:sz w:val="24"/>
          <w:szCs w:val="24"/>
        </w:rPr>
      </w:pPr>
      <w:r w:rsidRPr="00782EC8">
        <w:rPr>
          <w:rFonts w:ascii="Calibri" w:eastAsia="Times New Roman" w:hAnsi="Calibri" w:cs="Calibri"/>
          <w:sz w:val="24"/>
          <w:szCs w:val="24"/>
        </w:rPr>
        <w:t>$25,72</w:t>
      </w:r>
      <w:r w:rsidR="00631321">
        <w:rPr>
          <w:rFonts w:ascii="Calibri" w:eastAsia="Times New Roman" w:hAnsi="Calibri" w:cs="Calibri"/>
          <w:sz w:val="24"/>
          <w:szCs w:val="24"/>
        </w:rPr>
        <w:t>5</w:t>
      </w:r>
      <w:r w:rsidRPr="00782EC8">
        <w:rPr>
          <w:rFonts w:ascii="Calibri" w:eastAsia="Times New Roman" w:hAnsi="Calibri" w:cs="Calibri"/>
          <w:sz w:val="24"/>
          <w:szCs w:val="24"/>
        </w:rPr>
        <w:t xml:space="preserve"> paid </w:t>
      </w:r>
      <w:r w:rsidR="00631321">
        <w:rPr>
          <w:rFonts w:ascii="Calibri" w:eastAsia="Times New Roman" w:hAnsi="Calibri" w:cs="Calibri"/>
          <w:sz w:val="24"/>
          <w:szCs w:val="24"/>
        </w:rPr>
        <w:t xml:space="preserve">in rebates </w:t>
      </w:r>
      <w:r w:rsidRPr="00782EC8">
        <w:rPr>
          <w:rFonts w:ascii="Calibri" w:eastAsia="Times New Roman" w:hAnsi="Calibri" w:cs="Calibri"/>
          <w:sz w:val="24"/>
          <w:szCs w:val="24"/>
        </w:rPr>
        <w:t>to customers</w:t>
      </w:r>
      <w:r w:rsidR="00782EC8">
        <w:rPr>
          <w:rFonts w:ascii="Calibri" w:eastAsia="Times New Roman" w:hAnsi="Calibri" w:cs="Calibri"/>
          <w:sz w:val="24"/>
          <w:szCs w:val="24"/>
        </w:rPr>
        <w:t xml:space="preserve"> in 2020.</w:t>
      </w:r>
    </w:p>
    <w:p w14:paraId="24A5B4FA" w14:textId="77777777" w:rsidR="007E6E99" w:rsidRPr="00782EC8" w:rsidRDefault="007E6E99" w:rsidP="007E6E99">
      <w:pPr>
        <w:spacing w:after="0" w:line="276" w:lineRule="auto"/>
        <w:ind w:left="2160"/>
        <w:contextualSpacing/>
        <w:rPr>
          <w:rFonts w:ascii="Calibri" w:eastAsia="Times New Roman" w:hAnsi="Calibri" w:cs="Calibri"/>
          <w:sz w:val="24"/>
          <w:szCs w:val="24"/>
        </w:rPr>
      </w:pPr>
    </w:p>
    <w:p w14:paraId="632B2FBD" w14:textId="77777777" w:rsidR="0027793F" w:rsidRPr="00782EC8" w:rsidRDefault="0027793F" w:rsidP="0027793F">
      <w:pPr>
        <w:numPr>
          <w:ilvl w:val="0"/>
          <w:numId w:val="2"/>
        </w:numPr>
        <w:spacing w:after="0" w:line="276" w:lineRule="auto"/>
        <w:contextualSpacing/>
        <w:rPr>
          <w:rFonts w:ascii="Calibri" w:eastAsia="Times New Roman" w:hAnsi="Calibri" w:cs="Calibri"/>
          <w:sz w:val="24"/>
          <w:szCs w:val="24"/>
        </w:rPr>
      </w:pPr>
      <w:r w:rsidRPr="00782EC8">
        <w:rPr>
          <w:rFonts w:ascii="Calibri" w:eastAsia="Times New Roman" w:hAnsi="Calibri" w:cs="Calibri"/>
          <w:sz w:val="24"/>
          <w:szCs w:val="24"/>
        </w:rPr>
        <w:t>Thermostat Demand Response (Thermostat Energy Management Program)</w:t>
      </w:r>
    </w:p>
    <w:p w14:paraId="0AD3487F" w14:textId="23BCB9F7" w:rsidR="0027793F" w:rsidRDefault="00BB5825" w:rsidP="0027793F">
      <w:pPr>
        <w:numPr>
          <w:ilvl w:val="1"/>
          <w:numId w:val="2"/>
        </w:numPr>
        <w:spacing w:after="0" w:line="276" w:lineRule="auto"/>
        <w:contextualSpacing/>
        <w:rPr>
          <w:rFonts w:ascii="Calibri" w:eastAsia="Times New Roman" w:hAnsi="Calibri" w:cs="Calibri"/>
          <w:sz w:val="24"/>
          <w:szCs w:val="24"/>
        </w:rPr>
      </w:pPr>
      <w:r>
        <w:rPr>
          <w:rFonts w:ascii="Calibri" w:eastAsia="Times New Roman" w:hAnsi="Calibri" w:cs="Calibri"/>
          <w:sz w:val="24"/>
          <w:szCs w:val="24"/>
        </w:rPr>
        <w:t>In 2020</w:t>
      </w:r>
      <w:r w:rsidR="0027793F" w:rsidRPr="002C4F31">
        <w:rPr>
          <w:rFonts w:ascii="Calibri" w:eastAsia="Times New Roman" w:hAnsi="Calibri" w:cs="Calibri"/>
          <w:sz w:val="24"/>
          <w:szCs w:val="24"/>
        </w:rPr>
        <w:t xml:space="preserve"> the program </w:t>
      </w:r>
      <w:r w:rsidR="0027793F">
        <w:rPr>
          <w:rFonts w:ascii="Calibri" w:eastAsia="Times New Roman" w:hAnsi="Calibri" w:cs="Calibri"/>
          <w:sz w:val="24"/>
          <w:szCs w:val="24"/>
        </w:rPr>
        <w:t xml:space="preserve">achieved </w:t>
      </w:r>
      <w:r w:rsidR="00782EC8">
        <w:rPr>
          <w:rFonts w:ascii="Calibri" w:eastAsia="Times New Roman" w:hAnsi="Calibri" w:cs="Calibri"/>
          <w:sz w:val="24"/>
          <w:szCs w:val="24"/>
        </w:rPr>
        <w:t>3</w:t>
      </w:r>
      <w:r w:rsidR="00797143">
        <w:rPr>
          <w:rFonts w:ascii="Calibri" w:eastAsia="Times New Roman" w:hAnsi="Calibri" w:cs="Calibri"/>
          <w:sz w:val="24"/>
          <w:szCs w:val="24"/>
        </w:rPr>
        <w:t>7</w:t>
      </w:r>
      <w:r w:rsidR="00782EC8">
        <w:rPr>
          <w:rFonts w:ascii="Calibri" w:eastAsia="Times New Roman" w:hAnsi="Calibri" w:cs="Calibri"/>
          <w:sz w:val="24"/>
          <w:szCs w:val="24"/>
        </w:rPr>
        <w:t>,</w:t>
      </w:r>
      <w:r w:rsidR="00797143">
        <w:rPr>
          <w:rFonts w:ascii="Calibri" w:eastAsia="Times New Roman" w:hAnsi="Calibri" w:cs="Calibri"/>
          <w:sz w:val="24"/>
          <w:szCs w:val="24"/>
        </w:rPr>
        <w:t>866</w:t>
      </w:r>
      <w:r w:rsidR="00782EC8">
        <w:rPr>
          <w:rFonts w:ascii="Calibri" w:eastAsia="Times New Roman" w:hAnsi="Calibri" w:cs="Calibri"/>
          <w:sz w:val="24"/>
          <w:szCs w:val="24"/>
        </w:rPr>
        <w:t xml:space="preserve"> </w:t>
      </w:r>
      <w:r w:rsidR="0027793F">
        <w:rPr>
          <w:rFonts w:ascii="Calibri" w:eastAsia="Times New Roman" w:hAnsi="Calibri" w:cs="Calibri"/>
          <w:sz w:val="24"/>
          <w:szCs w:val="24"/>
        </w:rPr>
        <w:t xml:space="preserve">kW </w:t>
      </w:r>
      <w:r>
        <w:rPr>
          <w:rFonts w:ascii="Calibri" w:eastAsia="Times New Roman" w:hAnsi="Calibri" w:cs="Calibri"/>
          <w:sz w:val="24"/>
          <w:szCs w:val="24"/>
        </w:rPr>
        <w:t xml:space="preserve">savings </w:t>
      </w:r>
      <w:r w:rsidR="0027793F">
        <w:rPr>
          <w:rFonts w:ascii="Calibri" w:eastAsia="Times New Roman" w:hAnsi="Calibri" w:cs="Calibri"/>
          <w:sz w:val="24"/>
          <w:szCs w:val="24"/>
        </w:rPr>
        <w:t>through Q</w:t>
      </w:r>
      <w:r w:rsidR="00782EC8">
        <w:rPr>
          <w:rFonts w:ascii="Calibri" w:eastAsia="Times New Roman" w:hAnsi="Calibri" w:cs="Calibri"/>
          <w:sz w:val="24"/>
          <w:szCs w:val="24"/>
        </w:rPr>
        <w:t>4</w:t>
      </w:r>
      <w:r w:rsidR="0027793F">
        <w:rPr>
          <w:rFonts w:ascii="Calibri" w:eastAsia="Times New Roman" w:hAnsi="Calibri" w:cs="Calibri"/>
          <w:sz w:val="24"/>
          <w:szCs w:val="24"/>
        </w:rPr>
        <w:t>:</w:t>
      </w:r>
    </w:p>
    <w:p w14:paraId="6690D3A7" w14:textId="7B2676EA" w:rsidR="0027793F" w:rsidRDefault="00945AEA" w:rsidP="0027793F">
      <w:pPr>
        <w:numPr>
          <w:ilvl w:val="2"/>
          <w:numId w:val="2"/>
        </w:numPr>
        <w:spacing w:after="0" w:line="276" w:lineRule="auto"/>
        <w:contextualSpacing/>
        <w:rPr>
          <w:rFonts w:ascii="Calibri" w:eastAsia="Times New Roman" w:hAnsi="Calibri" w:cs="Calibri"/>
          <w:sz w:val="24"/>
          <w:szCs w:val="24"/>
        </w:rPr>
      </w:pPr>
      <w:r>
        <w:rPr>
          <w:rFonts w:ascii="Calibri" w:eastAsia="Times New Roman" w:hAnsi="Calibri" w:cs="Calibri"/>
          <w:sz w:val="24"/>
          <w:szCs w:val="24"/>
        </w:rPr>
        <w:t>1</w:t>
      </w:r>
      <w:r w:rsidR="00631321">
        <w:rPr>
          <w:rFonts w:ascii="Calibri" w:eastAsia="Times New Roman" w:hAnsi="Calibri" w:cs="Calibri"/>
          <w:sz w:val="24"/>
          <w:szCs w:val="24"/>
        </w:rPr>
        <w:t>45</w:t>
      </w:r>
      <w:r>
        <w:rPr>
          <w:rFonts w:ascii="Calibri" w:eastAsia="Times New Roman" w:hAnsi="Calibri" w:cs="Calibri"/>
          <w:sz w:val="24"/>
          <w:szCs w:val="24"/>
        </w:rPr>
        <w:t>.</w:t>
      </w:r>
      <w:r w:rsidR="00631321">
        <w:rPr>
          <w:rFonts w:ascii="Calibri" w:eastAsia="Times New Roman" w:hAnsi="Calibri" w:cs="Calibri"/>
          <w:sz w:val="24"/>
          <w:szCs w:val="24"/>
        </w:rPr>
        <w:t>96</w:t>
      </w:r>
      <w:r>
        <w:rPr>
          <w:rFonts w:ascii="Calibri" w:eastAsia="Times New Roman" w:hAnsi="Calibri" w:cs="Calibri"/>
          <w:sz w:val="24"/>
          <w:szCs w:val="24"/>
        </w:rPr>
        <w:t xml:space="preserve">% </w:t>
      </w:r>
      <w:r w:rsidR="0027793F" w:rsidRPr="00C96139">
        <w:rPr>
          <w:rFonts w:ascii="Calibri" w:eastAsia="Times New Roman" w:hAnsi="Calibri" w:cs="Calibri"/>
          <w:sz w:val="24"/>
          <w:szCs w:val="24"/>
        </w:rPr>
        <w:t>of</w:t>
      </w:r>
      <w:r w:rsidR="0027793F">
        <w:rPr>
          <w:rFonts w:ascii="Calibri" w:eastAsia="Times New Roman" w:hAnsi="Calibri" w:cs="Calibri"/>
          <w:sz w:val="24"/>
          <w:szCs w:val="24"/>
        </w:rPr>
        <w:t xml:space="preserve"> annual</w:t>
      </w:r>
      <w:r w:rsidR="0027793F" w:rsidRPr="00C96139">
        <w:rPr>
          <w:rFonts w:ascii="Calibri" w:eastAsia="Times New Roman" w:hAnsi="Calibri" w:cs="Calibri"/>
          <w:sz w:val="24"/>
          <w:szCs w:val="24"/>
        </w:rPr>
        <w:t xml:space="preserve"> kW goal</w:t>
      </w:r>
      <w:r w:rsidR="0027793F">
        <w:rPr>
          <w:rFonts w:ascii="Calibri" w:eastAsia="Times New Roman" w:hAnsi="Calibri" w:cs="Calibri"/>
          <w:sz w:val="24"/>
          <w:szCs w:val="24"/>
        </w:rPr>
        <w:t xml:space="preserve"> </w:t>
      </w:r>
      <w:r w:rsidR="00782EC8">
        <w:rPr>
          <w:rFonts w:ascii="Calibri" w:eastAsia="Times New Roman" w:hAnsi="Calibri" w:cs="Calibri"/>
          <w:sz w:val="24"/>
          <w:szCs w:val="24"/>
        </w:rPr>
        <w:t>in 2020</w:t>
      </w:r>
      <w:r w:rsidR="0027793F">
        <w:rPr>
          <w:rFonts w:ascii="Calibri" w:eastAsia="Times New Roman" w:hAnsi="Calibri" w:cs="Calibri"/>
          <w:sz w:val="24"/>
          <w:szCs w:val="24"/>
        </w:rPr>
        <w:t>.</w:t>
      </w:r>
    </w:p>
    <w:p w14:paraId="5D148B41" w14:textId="77777777" w:rsidR="0027793F" w:rsidRPr="002C4F31" w:rsidRDefault="0027793F" w:rsidP="0027793F">
      <w:pPr>
        <w:numPr>
          <w:ilvl w:val="2"/>
          <w:numId w:val="2"/>
        </w:numPr>
        <w:spacing w:after="0" w:line="276" w:lineRule="auto"/>
        <w:contextualSpacing/>
        <w:rPr>
          <w:rFonts w:ascii="Calibri" w:eastAsia="Times New Roman" w:hAnsi="Calibri" w:cs="Calibri"/>
          <w:sz w:val="24"/>
          <w:szCs w:val="24"/>
        </w:rPr>
      </w:pPr>
      <w:r>
        <w:rPr>
          <w:rFonts w:ascii="Calibri" w:eastAsia="Times New Roman" w:hAnsi="Calibri" w:cs="Calibri"/>
          <w:sz w:val="24"/>
          <w:szCs w:val="24"/>
        </w:rPr>
        <w:t>Summer events called 9/3 and 9/10.</w:t>
      </w:r>
    </w:p>
    <w:p w14:paraId="782F116E" w14:textId="77777777" w:rsidR="0027793F" w:rsidRDefault="0027793F" w:rsidP="0027793F">
      <w:pPr>
        <w:numPr>
          <w:ilvl w:val="2"/>
          <w:numId w:val="2"/>
        </w:numPr>
        <w:spacing w:after="0" w:line="276" w:lineRule="auto"/>
        <w:rPr>
          <w:sz w:val="24"/>
          <w:szCs w:val="24"/>
        </w:rPr>
      </w:pPr>
      <w:r w:rsidRPr="5DC6FBF6">
        <w:rPr>
          <w:rFonts w:ascii="Calibri" w:eastAsia="Times New Roman" w:hAnsi="Calibri" w:cs="Calibri"/>
          <w:sz w:val="24"/>
          <w:szCs w:val="24"/>
        </w:rPr>
        <w:t>Winter events called 12/9 and 12/17.</w:t>
      </w:r>
    </w:p>
    <w:p w14:paraId="40BC9A7A" w14:textId="54E3503D" w:rsidR="0027793F" w:rsidRDefault="0027793F" w:rsidP="0027793F">
      <w:pPr>
        <w:numPr>
          <w:ilvl w:val="3"/>
          <w:numId w:val="2"/>
        </w:numPr>
        <w:spacing w:after="0" w:line="276" w:lineRule="auto"/>
        <w:rPr>
          <w:sz w:val="24"/>
          <w:szCs w:val="24"/>
        </w:rPr>
      </w:pPr>
      <w:r w:rsidRPr="08979BA1">
        <w:rPr>
          <w:rFonts w:ascii="Calibri" w:eastAsia="Times New Roman" w:hAnsi="Calibri" w:cs="Calibri"/>
          <w:sz w:val="24"/>
          <w:szCs w:val="24"/>
        </w:rPr>
        <w:t>The 9/3 event had a total of 8,</w:t>
      </w:r>
      <w:r w:rsidR="00317CEA">
        <w:rPr>
          <w:rFonts w:ascii="Calibri" w:eastAsia="Times New Roman" w:hAnsi="Calibri" w:cs="Calibri"/>
          <w:sz w:val="24"/>
          <w:szCs w:val="24"/>
        </w:rPr>
        <w:t>586</w:t>
      </w:r>
      <w:r w:rsidRPr="08979BA1">
        <w:rPr>
          <w:rFonts w:ascii="Calibri" w:eastAsia="Times New Roman" w:hAnsi="Calibri" w:cs="Calibri"/>
          <w:sz w:val="24"/>
          <w:szCs w:val="24"/>
        </w:rPr>
        <w:t xml:space="preserve"> completed participants.</w:t>
      </w:r>
    </w:p>
    <w:p w14:paraId="1E7F1B5B" w14:textId="77777777" w:rsidR="0027793F" w:rsidRDefault="0027793F" w:rsidP="0027793F">
      <w:pPr>
        <w:numPr>
          <w:ilvl w:val="3"/>
          <w:numId w:val="2"/>
        </w:numPr>
        <w:spacing w:after="0" w:line="276" w:lineRule="auto"/>
        <w:rPr>
          <w:sz w:val="24"/>
          <w:szCs w:val="24"/>
        </w:rPr>
      </w:pPr>
      <w:r w:rsidRPr="08979BA1">
        <w:rPr>
          <w:rFonts w:ascii="Calibri" w:eastAsia="Times New Roman" w:hAnsi="Calibri" w:cs="Calibri"/>
          <w:sz w:val="24"/>
          <w:szCs w:val="24"/>
        </w:rPr>
        <w:t>The 9/10 event had a total of 9,186 completed participants.</w:t>
      </w:r>
    </w:p>
    <w:p w14:paraId="0D492E28" w14:textId="77777777" w:rsidR="0027793F" w:rsidRDefault="0027793F" w:rsidP="0027793F">
      <w:pPr>
        <w:numPr>
          <w:ilvl w:val="3"/>
          <w:numId w:val="2"/>
        </w:numPr>
        <w:spacing w:after="0" w:line="276" w:lineRule="auto"/>
        <w:rPr>
          <w:rFonts w:eastAsiaTheme="minorEastAsia"/>
          <w:sz w:val="24"/>
          <w:szCs w:val="24"/>
        </w:rPr>
      </w:pPr>
      <w:r w:rsidRPr="5DC6FBF6">
        <w:rPr>
          <w:rFonts w:ascii="Calibri" w:eastAsia="Times New Roman" w:hAnsi="Calibri" w:cs="Calibri"/>
          <w:sz w:val="24"/>
          <w:szCs w:val="24"/>
        </w:rPr>
        <w:t>The 12/9 event had a total of 8,040 completed participants.</w:t>
      </w:r>
    </w:p>
    <w:p w14:paraId="7CD1BBDD" w14:textId="5D500BCC" w:rsidR="0027793F" w:rsidRPr="00782EC8" w:rsidRDefault="0027793F" w:rsidP="00782EC8">
      <w:pPr>
        <w:numPr>
          <w:ilvl w:val="3"/>
          <w:numId w:val="2"/>
        </w:numPr>
        <w:spacing w:after="0" w:line="276" w:lineRule="auto"/>
        <w:rPr>
          <w:rFonts w:eastAsiaTheme="minorEastAsia"/>
          <w:sz w:val="24"/>
          <w:szCs w:val="24"/>
        </w:rPr>
      </w:pPr>
      <w:r w:rsidRPr="5DC6FBF6">
        <w:rPr>
          <w:rFonts w:ascii="Calibri" w:eastAsia="Times New Roman" w:hAnsi="Calibri" w:cs="Calibri"/>
          <w:sz w:val="24"/>
          <w:szCs w:val="24"/>
        </w:rPr>
        <w:t>The 12/17 event had a total of 8,176 completed participants.</w:t>
      </w:r>
    </w:p>
    <w:p w14:paraId="15210699" w14:textId="35F0B6D7" w:rsidR="0027793F" w:rsidRDefault="00782EC8" w:rsidP="0027793F">
      <w:pPr>
        <w:numPr>
          <w:ilvl w:val="1"/>
          <w:numId w:val="2"/>
        </w:numPr>
        <w:spacing w:after="0" w:line="276" w:lineRule="auto"/>
        <w:contextualSpacing/>
        <w:rPr>
          <w:rFonts w:ascii="Calibri" w:eastAsia="Times New Roman" w:hAnsi="Calibri" w:cs="Calibri"/>
          <w:sz w:val="24"/>
          <w:szCs w:val="24"/>
        </w:rPr>
      </w:pPr>
      <w:r w:rsidRPr="00782EC8">
        <w:rPr>
          <w:rFonts w:ascii="Calibri" w:eastAsia="Times New Roman" w:hAnsi="Calibri" w:cs="Calibri"/>
          <w:sz w:val="24"/>
          <w:szCs w:val="24"/>
        </w:rPr>
        <w:t>In 2020</w:t>
      </w:r>
      <w:r w:rsidR="0027793F" w:rsidRPr="00782EC8">
        <w:rPr>
          <w:rFonts w:ascii="Calibri" w:eastAsia="Times New Roman" w:hAnsi="Calibri" w:cs="Calibri"/>
          <w:sz w:val="24"/>
          <w:szCs w:val="24"/>
        </w:rPr>
        <w:t xml:space="preserve"> the program paid $</w:t>
      </w:r>
      <w:r>
        <w:rPr>
          <w:rFonts w:ascii="Calibri" w:eastAsia="Times New Roman" w:hAnsi="Calibri" w:cs="Calibri"/>
          <w:sz w:val="24"/>
          <w:szCs w:val="24"/>
        </w:rPr>
        <w:t xml:space="preserve">972,500 </w:t>
      </w:r>
      <w:r w:rsidR="0027793F" w:rsidRPr="00251CDC">
        <w:rPr>
          <w:rFonts w:ascii="Calibri" w:eastAsia="Times New Roman" w:hAnsi="Calibri" w:cs="Calibri"/>
          <w:sz w:val="24"/>
          <w:szCs w:val="24"/>
        </w:rPr>
        <w:t>in rebates.  </w:t>
      </w:r>
    </w:p>
    <w:p w14:paraId="2F06D20E" w14:textId="54EDFDFA" w:rsidR="0027793F" w:rsidRPr="002D6A2F" w:rsidRDefault="0027793F" w:rsidP="0027793F">
      <w:pPr>
        <w:numPr>
          <w:ilvl w:val="1"/>
          <w:numId w:val="2"/>
        </w:numPr>
        <w:spacing w:after="0" w:line="276" w:lineRule="auto"/>
        <w:contextualSpacing/>
        <w:rPr>
          <w:rFonts w:ascii="Calibri" w:eastAsia="Times New Roman" w:hAnsi="Calibri" w:cs="Calibri"/>
          <w:sz w:val="24"/>
          <w:szCs w:val="24"/>
        </w:rPr>
      </w:pPr>
      <w:r w:rsidRPr="002C4F31">
        <w:rPr>
          <w:rFonts w:ascii="Calibri" w:eastAsia="Times New Roman" w:hAnsi="Calibri" w:cs="Calibri"/>
          <w:sz w:val="24"/>
          <w:szCs w:val="24"/>
        </w:rPr>
        <w:t xml:space="preserve">Georgia Power Marketplace enrollments </w:t>
      </w:r>
      <w:r w:rsidR="00810AFB">
        <w:rPr>
          <w:rFonts w:ascii="Calibri" w:eastAsia="Times New Roman" w:hAnsi="Calibri" w:cs="Calibri"/>
          <w:sz w:val="24"/>
          <w:szCs w:val="24"/>
        </w:rPr>
        <w:t xml:space="preserve">began </w:t>
      </w:r>
      <w:r w:rsidRPr="002C4F31">
        <w:rPr>
          <w:rFonts w:ascii="Calibri" w:eastAsia="Times New Roman" w:hAnsi="Calibri" w:cs="Calibri"/>
          <w:sz w:val="24"/>
          <w:szCs w:val="24"/>
        </w:rPr>
        <w:t>on June 9</w:t>
      </w:r>
      <w:r w:rsidRPr="002C4F31">
        <w:rPr>
          <w:rFonts w:ascii="Calibri" w:eastAsia="Times New Roman" w:hAnsi="Calibri" w:cs="Calibri"/>
          <w:sz w:val="24"/>
          <w:szCs w:val="24"/>
          <w:vertAlign w:val="superscript"/>
        </w:rPr>
        <w:t>th</w:t>
      </w:r>
      <w:r w:rsidRPr="002C4F31">
        <w:rPr>
          <w:rFonts w:ascii="Calibri" w:eastAsia="Times New Roman" w:hAnsi="Calibri" w:cs="Calibri"/>
          <w:sz w:val="24"/>
          <w:szCs w:val="24"/>
        </w:rPr>
        <w:t xml:space="preserve">. </w:t>
      </w:r>
    </w:p>
    <w:p w14:paraId="33B53EF3" w14:textId="3DFEE5A9" w:rsidR="0027793F" w:rsidRPr="00945AEA" w:rsidRDefault="00925AEA" w:rsidP="0027793F">
      <w:pPr>
        <w:numPr>
          <w:ilvl w:val="2"/>
          <w:numId w:val="2"/>
        </w:numPr>
        <w:spacing w:after="0" w:line="276" w:lineRule="auto"/>
        <w:contextualSpacing/>
        <w:rPr>
          <w:rFonts w:ascii="Calibri" w:eastAsia="Times New Roman" w:hAnsi="Calibri" w:cs="Calibri"/>
          <w:sz w:val="24"/>
          <w:szCs w:val="24"/>
        </w:rPr>
      </w:pPr>
      <w:r>
        <w:rPr>
          <w:rFonts w:ascii="Calibri" w:eastAsia="Times New Roman" w:hAnsi="Calibri" w:cs="Calibri"/>
          <w:sz w:val="24"/>
          <w:szCs w:val="24"/>
        </w:rPr>
        <w:t>18,978</w:t>
      </w:r>
      <w:r w:rsidR="00945AEA" w:rsidRPr="00945AEA">
        <w:rPr>
          <w:rFonts w:ascii="Calibri" w:eastAsia="Times New Roman" w:hAnsi="Calibri" w:cs="Calibri"/>
          <w:sz w:val="24"/>
          <w:szCs w:val="24"/>
        </w:rPr>
        <w:t xml:space="preserve"> </w:t>
      </w:r>
      <w:r w:rsidR="0027793F" w:rsidRPr="00945AEA">
        <w:rPr>
          <w:rFonts w:ascii="Calibri" w:eastAsia="Times New Roman" w:hAnsi="Calibri" w:cs="Calibri"/>
          <w:sz w:val="24"/>
          <w:szCs w:val="24"/>
        </w:rPr>
        <w:t xml:space="preserve">devices have been enrolled </w:t>
      </w:r>
      <w:r w:rsidR="00945AEA" w:rsidRPr="00945AEA">
        <w:rPr>
          <w:rFonts w:ascii="Calibri" w:eastAsia="Times New Roman" w:hAnsi="Calibri" w:cs="Calibri"/>
          <w:sz w:val="24"/>
          <w:szCs w:val="24"/>
        </w:rPr>
        <w:t>in 2020</w:t>
      </w:r>
      <w:r w:rsidR="0027793F" w:rsidRPr="00945AEA">
        <w:rPr>
          <w:rFonts w:ascii="Calibri" w:eastAsia="Times New Roman" w:hAnsi="Calibri" w:cs="Calibri"/>
          <w:sz w:val="24"/>
          <w:szCs w:val="24"/>
        </w:rPr>
        <w:t>: </w:t>
      </w:r>
    </w:p>
    <w:p w14:paraId="4B3CBE47" w14:textId="0063BEC4" w:rsidR="0027793F" w:rsidRPr="00925AEA" w:rsidRDefault="0027793F" w:rsidP="0027793F">
      <w:pPr>
        <w:numPr>
          <w:ilvl w:val="3"/>
          <w:numId w:val="2"/>
        </w:numPr>
        <w:spacing w:after="0" w:line="276" w:lineRule="auto"/>
        <w:contextualSpacing/>
        <w:rPr>
          <w:rFonts w:ascii="Calibri" w:eastAsia="Times New Roman" w:hAnsi="Calibri" w:cs="Calibri"/>
          <w:sz w:val="24"/>
          <w:szCs w:val="24"/>
        </w:rPr>
      </w:pPr>
      <w:r w:rsidRPr="00925AEA">
        <w:rPr>
          <w:rFonts w:ascii="Calibri" w:eastAsia="Times New Roman" w:hAnsi="Calibri" w:cs="Calibri"/>
          <w:sz w:val="24"/>
          <w:szCs w:val="24"/>
        </w:rPr>
        <w:t>2,0</w:t>
      </w:r>
      <w:r w:rsidR="00AC29A1" w:rsidRPr="00925AEA">
        <w:rPr>
          <w:rFonts w:ascii="Calibri" w:eastAsia="Times New Roman" w:hAnsi="Calibri" w:cs="Calibri"/>
          <w:sz w:val="24"/>
          <w:szCs w:val="24"/>
        </w:rPr>
        <w:t>92</w:t>
      </w:r>
      <w:r w:rsidRPr="00925AEA">
        <w:rPr>
          <w:rFonts w:ascii="Calibri" w:eastAsia="Times New Roman" w:hAnsi="Calibri" w:cs="Calibri"/>
          <w:sz w:val="24"/>
          <w:szCs w:val="24"/>
        </w:rPr>
        <w:t xml:space="preserve"> Marketplace enrollments. </w:t>
      </w:r>
    </w:p>
    <w:p w14:paraId="1CB409B5" w14:textId="44CCB5B2" w:rsidR="0027793F" w:rsidRDefault="0027793F" w:rsidP="007E6E99">
      <w:pPr>
        <w:numPr>
          <w:ilvl w:val="3"/>
          <w:numId w:val="2"/>
        </w:numPr>
        <w:spacing w:after="0" w:line="276" w:lineRule="auto"/>
        <w:contextualSpacing/>
        <w:rPr>
          <w:rFonts w:ascii="Calibri" w:eastAsia="Times New Roman" w:hAnsi="Calibri" w:cs="Calibri"/>
          <w:sz w:val="24"/>
          <w:szCs w:val="24"/>
        </w:rPr>
      </w:pPr>
      <w:r w:rsidRPr="00925AEA">
        <w:rPr>
          <w:rFonts w:ascii="Calibri" w:eastAsia="Times New Roman" w:hAnsi="Calibri" w:cs="Calibri"/>
          <w:sz w:val="24"/>
          <w:szCs w:val="24"/>
        </w:rPr>
        <w:t>16,</w:t>
      </w:r>
      <w:r w:rsidR="00AC29A1" w:rsidRPr="00925AEA">
        <w:rPr>
          <w:rFonts w:ascii="Calibri" w:eastAsia="Times New Roman" w:hAnsi="Calibri" w:cs="Calibri"/>
          <w:sz w:val="24"/>
          <w:szCs w:val="24"/>
        </w:rPr>
        <w:t>886</w:t>
      </w:r>
      <w:r w:rsidRPr="00925AEA">
        <w:rPr>
          <w:rFonts w:ascii="Calibri" w:eastAsia="Times New Roman" w:hAnsi="Calibri" w:cs="Calibri"/>
          <w:sz w:val="24"/>
          <w:szCs w:val="24"/>
        </w:rPr>
        <w:t xml:space="preserve"> Bring Your Own Device (BYOD) enrollments.</w:t>
      </w:r>
    </w:p>
    <w:p w14:paraId="7C635789" w14:textId="77777777" w:rsidR="007E6E99" w:rsidRPr="007E6E99" w:rsidRDefault="007E6E99" w:rsidP="007E6E99">
      <w:pPr>
        <w:spacing w:after="0" w:line="276" w:lineRule="auto"/>
        <w:ind w:left="2880"/>
        <w:contextualSpacing/>
        <w:rPr>
          <w:rFonts w:ascii="Calibri" w:eastAsia="Times New Roman" w:hAnsi="Calibri" w:cs="Calibri"/>
          <w:sz w:val="24"/>
          <w:szCs w:val="24"/>
        </w:rPr>
      </w:pPr>
    </w:p>
    <w:p w14:paraId="41E51E39" w14:textId="77777777" w:rsidR="0027793F" w:rsidRPr="00FF4156" w:rsidRDefault="0027793F" w:rsidP="0027793F">
      <w:pPr>
        <w:numPr>
          <w:ilvl w:val="0"/>
          <w:numId w:val="2"/>
        </w:numPr>
        <w:spacing w:after="0" w:line="276" w:lineRule="auto"/>
        <w:contextualSpacing/>
        <w:rPr>
          <w:rFonts w:ascii="Calibri" w:eastAsia="Times New Roman" w:hAnsi="Calibri" w:cs="Calibri"/>
          <w:sz w:val="24"/>
          <w:szCs w:val="24"/>
        </w:rPr>
      </w:pPr>
      <w:r w:rsidRPr="00FF4156">
        <w:rPr>
          <w:rFonts w:ascii="Calibri" w:eastAsia="Times New Roman" w:hAnsi="Calibri" w:cs="Calibri"/>
          <w:sz w:val="24"/>
          <w:szCs w:val="24"/>
        </w:rPr>
        <w:t>Home Energy Improvement</w:t>
      </w:r>
    </w:p>
    <w:p w14:paraId="0DC556C3" w14:textId="7FF123AD" w:rsidR="0027793F" w:rsidRPr="007F28BF" w:rsidRDefault="00613F8F" w:rsidP="0027793F">
      <w:pPr>
        <w:numPr>
          <w:ilvl w:val="1"/>
          <w:numId w:val="2"/>
        </w:numPr>
        <w:spacing w:after="0" w:line="276" w:lineRule="auto"/>
        <w:contextualSpacing/>
        <w:rPr>
          <w:rFonts w:ascii="Calibri" w:eastAsia="Times New Roman" w:hAnsi="Calibri" w:cs="Calibri"/>
          <w:color w:val="000000" w:themeColor="text1"/>
          <w:sz w:val="24"/>
          <w:szCs w:val="24"/>
        </w:rPr>
      </w:pPr>
      <w:bookmarkStart w:id="8" w:name="_Hlk39493025"/>
      <w:r>
        <w:rPr>
          <w:rFonts w:ascii="Calibri" w:eastAsia="Times New Roman" w:hAnsi="Calibri" w:cs="Calibri"/>
          <w:sz w:val="24"/>
          <w:szCs w:val="24"/>
        </w:rPr>
        <w:t>In 2020</w:t>
      </w:r>
      <w:r w:rsidR="0027793F" w:rsidRPr="002C4F31">
        <w:rPr>
          <w:rFonts w:ascii="Calibri" w:eastAsia="Times New Roman" w:hAnsi="Calibri" w:cs="Calibri"/>
          <w:sz w:val="24"/>
          <w:szCs w:val="24"/>
        </w:rPr>
        <w:t xml:space="preserve"> </w:t>
      </w:r>
      <w:r w:rsidR="001E6A59">
        <w:rPr>
          <w:rFonts w:ascii="Calibri" w:eastAsia="Times New Roman" w:hAnsi="Calibri" w:cs="Calibri"/>
          <w:sz w:val="24"/>
          <w:szCs w:val="24"/>
        </w:rPr>
        <w:t>the program</w:t>
      </w:r>
      <w:r w:rsidR="0027793F" w:rsidRPr="002C4F31">
        <w:rPr>
          <w:rFonts w:ascii="Calibri" w:eastAsia="Times New Roman" w:hAnsi="Calibri" w:cs="Calibri"/>
          <w:sz w:val="24"/>
          <w:szCs w:val="24"/>
        </w:rPr>
        <w:t xml:space="preserve"> achieved </w:t>
      </w:r>
      <w:r>
        <w:rPr>
          <w:rFonts w:ascii="Calibri" w:eastAsia="Times New Roman" w:hAnsi="Calibri" w:cs="Calibri"/>
          <w:sz w:val="24"/>
          <w:szCs w:val="24"/>
        </w:rPr>
        <w:t xml:space="preserve">19,915,618 </w:t>
      </w:r>
      <w:r w:rsidR="0027793F" w:rsidRPr="002C4F31">
        <w:rPr>
          <w:rFonts w:ascii="Calibri" w:eastAsia="Times New Roman" w:hAnsi="Calibri" w:cs="Calibri"/>
          <w:sz w:val="24"/>
          <w:szCs w:val="24"/>
        </w:rPr>
        <w:t xml:space="preserve">kWh savings </w:t>
      </w:r>
      <w:r w:rsidR="0027793F">
        <w:rPr>
          <w:rFonts w:ascii="Calibri" w:eastAsia="Times New Roman" w:hAnsi="Calibri" w:cs="Calibri"/>
          <w:sz w:val="24"/>
          <w:szCs w:val="24"/>
        </w:rPr>
        <w:t>and $</w:t>
      </w:r>
      <w:r>
        <w:rPr>
          <w:rFonts w:ascii="Calibri" w:eastAsia="Times New Roman" w:hAnsi="Calibri" w:cs="Calibri"/>
          <w:sz w:val="24"/>
          <w:szCs w:val="24"/>
        </w:rPr>
        <w:t>3,777,727</w:t>
      </w:r>
      <w:r w:rsidR="0027793F">
        <w:rPr>
          <w:rFonts w:ascii="Calibri" w:eastAsia="Times New Roman" w:hAnsi="Calibri" w:cs="Calibri"/>
          <w:sz w:val="24"/>
          <w:szCs w:val="24"/>
        </w:rPr>
        <w:t xml:space="preserve"> in rebates paid. </w:t>
      </w:r>
    </w:p>
    <w:p w14:paraId="669E3973" w14:textId="06D2FE7F" w:rsidR="0027793F" w:rsidRPr="007F28BF" w:rsidRDefault="00613F8F" w:rsidP="0027793F">
      <w:pPr>
        <w:numPr>
          <w:ilvl w:val="2"/>
          <w:numId w:val="2"/>
        </w:numPr>
        <w:spacing w:after="0" w:line="276" w:lineRule="auto"/>
        <w:contextualSpacing/>
        <w:rPr>
          <w:rFonts w:ascii="Calibri" w:eastAsia="Times New Roman" w:hAnsi="Calibri" w:cs="Calibri"/>
          <w:color w:val="000000" w:themeColor="text1"/>
          <w:sz w:val="24"/>
          <w:szCs w:val="24"/>
        </w:rPr>
      </w:pPr>
      <w:r>
        <w:rPr>
          <w:rFonts w:ascii="Calibri" w:eastAsia="Times New Roman" w:hAnsi="Calibri" w:cs="Calibri"/>
          <w:sz w:val="24"/>
          <w:szCs w:val="24"/>
        </w:rPr>
        <w:t>103.66</w:t>
      </w:r>
      <w:r w:rsidR="0027793F" w:rsidRPr="002C4F31">
        <w:rPr>
          <w:rFonts w:ascii="Calibri" w:eastAsia="Times New Roman" w:hAnsi="Calibri" w:cs="Calibri"/>
          <w:sz w:val="24"/>
          <w:szCs w:val="24"/>
        </w:rPr>
        <w:t xml:space="preserve">% of 2020 </w:t>
      </w:r>
      <w:r w:rsidR="0027793F">
        <w:rPr>
          <w:rFonts w:ascii="Calibri" w:eastAsia="Times New Roman" w:hAnsi="Calibri" w:cs="Calibri"/>
          <w:sz w:val="24"/>
          <w:szCs w:val="24"/>
        </w:rPr>
        <w:t xml:space="preserve">kWh </w:t>
      </w:r>
      <w:r w:rsidR="0027793F" w:rsidRPr="002C4F31">
        <w:rPr>
          <w:rFonts w:ascii="Calibri" w:eastAsia="Times New Roman" w:hAnsi="Calibri" w:cs="Calibri"/>
          <w:sz w:val="24"/>
          <w:szCs w:val="24"/>
        </w:rPr>
        <w:t xml:space="preserve">program goal </w:t>
      </w:r>
      <w:r>
        <w:rPr>
          <w:rFonts w:ascii="Calibri" w:eastAsia="Times New Roman" w:hAnsi="Calibri" w:cs="Calibri"/>
          <w:sz w:val="24"/>
          <w:szCs w:val="24"/>
        </w:rPr>
        <w:t>in 2020</w:t>
      </w:r>
      <w:r w:rsidR="0027793F" w:rsidRPr="002C4F31">
        <w:rPr>
          <w:rFonts w:ascii="Calibri" w:eastAsia="Times New Roman" w:hAnsi="Calibri" w:cs="Calibri"/>
          <w:sz w:val="24"/>
          <w:szCs w:val="24"/>
          <w:vertAlign w:val="superscript"/>
        </w:rPr>
        <w:footnoteReference w:id="3"/>
      </w:r>
      <w:r w:rsidR="0027793F" w:rsidRPr="002C4F31">
        <w:rPr>
          <w:rFonts w:ascii="Calibri" w:eastAsia="Times New Roman" w:hAnsi="Calibri" w:cs="Calibri"/>
          <w:sz w:val="24"/>
          <w:szCs w:val="24"/>
        </w:rPr>
        <w:t>.</w:t>
      </w:r>
    </w:p>
    <w:p w14:paraId="5F0EDCF9" w14:textId="693A6D54" w:rsidR="0027793F" w:rsidRPr="007F28BF" w:rsidRDefault="00613F8F" w:rsidP="0027793F">
      <w:pPr>
        <w:numPr>
          <w:ilvl w:val="1"/>
          <w:numId w:val="2"/>
        </w:numPr>
        <w:spacing w:after="0" w:line="276" w:lineRule="auto"/>
        <w:contextualSpacing/>
        <w:rPr>
          <w:rFonts w:ascii="Calibri" w:eastAsia="Times New Roman" w:hAnsi="Calibri" w:cs="Calibri"/>
          <w:color w:val="000000" w:themeColor="text1"/>
          <w:sz w:val="24"/>
          <w:szCs w:val="24"/>
        </w:rPr>
      </w:pPr>
      <w:r>
        <w:rPr>
          <w:rFonts w:ascii="Calibri" w:eastAsia="Times New Roman" w:hAnsi="Calibri" w:cs="Calibri"/>
          <w:sz w:val="24"/>
          <w:szCs w:val="24"/>
        </w:rPr>
        <w:t xml:space="preserve">In </w:t>
      </w:r>
      <w:r w:rsidR="0027793F">
        <w:rPr>
          <w:rFonts w:ascii="Calibri" w:eastAsia="Times New Roman" w:hAnsi="Calibri" w:cs="Calibri"/>
          <w:sz w:val="24"/>
          <w:szCs w:val="24"/>
        </w:rPr>
        <w:t>Q4</w:t>
      </w:r>
      <w:r>
        <w:rPr>
          <w:rFonts w:ascii="Calibri" w:eastAsia="Times New Roman" w:hAnsi="Calibri" w:cs="Calibri"/>
          <w:sz w:val="24"/>
          <w:szCs w:val="24"/>
        </w:rPr>
        <w:t>,</w:t>
      </w:r>
      <w:r w:rsidR="0027793F">
        <w:rPr>
          <w:rFonts w:ascii="Calibri" w:eastAsia="Times New Roman" w:hAnsi="Calibri" w:cs="Calibri"/>
          <w:sz w:val="24"/>
          <w:szCs w:val="24"/>
        </w:rPr>
        <w:t xml:space="preserve"> HEIP achieved </w:t>
      </w:r>
      <w:r>
        <w:rPr>
          <w:rFonts w:ascii="Calibri" w:eastAsia="Times New Roman" w:hAnsi="Calibri" w:cs="Calibri"/>
          <w:sz w:val="24"/>
          <w:szCs w:val="24"/>
        </w:rPr>
        <w:t>7,469,051</w:t>
      </w:r>
      <w:r w:rsidR="0027793F">
        <w:rPr>
          <w:rFonts w:ascii="Calibri" w:eastAsia="Times New Roman" w:hAnsi="Calibri" w:cs="Calibri"/>
          <w:sz w:val="24"/>
          <w:szCs w:val="24"/>
        </w:rPr>
        <w:t xml:space="preserve"> kWh savings and $</w:t>
      </w:r>
      <w:r>
        <w:rPr>
          <w:rFonts w:ascii="Calibri" w:eastAsia="Times New Roman" w:hAnsi="Calibri" w:cs="Calibri"/>
          <w:sz w:val="24"/>
          <w:szCs w:val="24"/>
        </w:rPr>
        <w:t>1,367,014</w:t>
      </w:r>
      <w:r w:rsidR="0027793F">
        <w:rPr>
          <w:rFonts w:ascii="Calibri" w:eastAsia="Times New Roman" w:hAnsi="Calibri" w:cs="Calibri"/>
          <w:sz w:val="24"/>
          <w:szCs w:val="24"/>
        </w:rPr>
        <w:t xml:space="preserve"> in rebates paid. </w:t>
      </w:r>
    </w:p>
    <w:p w14:paraId="58402162" w14:textId="77777777" w:rsidR="0027793F" w:rsidRPr="009D1672" w:rsidRDefault="0027793F" w:rsidP="0027793F">
      <w:pPr>
        <w:numPr>
          <w:ilvl w:val="1"/>
          <w:numId w:val="2"/>
        </w:numPr>
        <w:spacing w:after="0" w:line="276" w:lineRule="auto"/>
        <w:contextualSpacing/>
        <w:rPr>
          <w:rFonts w:ascii="Calibri" w:eastAsia="Times New Roman" w:hAnsi="Calibri" w:cs="Calibri"/>
          <w:color w:val="000000" w:themeColor="text1"/>
          <w:sz w:val="24"/>
          <w:szCs w:val="24"/>
        </w:rPr>
      </w:pPr>
      <w:r w:rsidRPr="002C4F31">
        <w:rPr>
          <w:rFonts w:ascii="Calibri" w:eastAsia="Times New Roman" w:hAnsi="Calibri" w:cs="Calibri"/>
          <w:sz w:val="24"/>
          <w:szCs w:val="24"/>
        </w:rPr>
        <w:t>There was a Q</w:t>
      </w:r>
      <w:r>
        <w:rPr>
          <w:rFonts w:ascii="Calibri" w:eastAsia="Times New Roman" w:hAnsi="Calibri" w:cs="Calibri"/>
          <w:sz w:val="24"/>
          <w:szCs w:val="24"/>
        </w:rPr>
        <w:t>4</w:t>
      </w:r>
      <w:r w:rsidRPr="002C4F31">
        <w:rPr>
          <w:rFonts w:ascii="Calibri" w:eastAsia="Times New Roman" w:hAnsi="Calibri" w:cs="Calibri"/>
          <w:sz w:val="24"/>
          <w:szCs w:val="24"/>
        </w:rPr>
        <w:t xml:space="preserve"> focus on </w:t>
      </w:r>
      <w:r w:rsidRPr="00251CDC">
        <w:rPr>
          <w:rFonts w:ascii="Calibri" w:eastAsia="Times New Roman" w:hAnsi="Calibri" w:cs="Calibri"/>
          <w:sz w:val="24"/>
          <w:szCs w:val="24"/>
        </w:rPr>
        <w:t>promoting</w:t>
      </w:r>
      <w:r>
        <w:rPr>
          <w:rFonts w:ascii="Calibri" w:eastAsia="Times New Roman" w:hAnsi="Calibri" w:cs="Calibri"/>
          <w:sz w:val="24"/>
          <w:szCs w:val="24"/>
        </w:rPr>
        <w:t>:</w:t>
      </w:r>
    </w:p>
    <w:p w14:paraId="2F4DA024" w14:textId="493548A5" w:rsidR="0027793F" w:rsidRPr="009D1672" w:rsidRDefault="0027793F" w:rsidP="0027793F">
      <w:pPr>
        <w:numPr>
          <w:ilvl w:val="2"/>
          <w:numId w:val="2"/>
        </w:numPr>
        <w:spacing w:after="0" w:line="276" w:lineRule="auto"/>
        <w:contextualSpacing/>
        <w:rPr>
          <w:rFonts w:ascii="Calibri" w:eastAsia="Times New Roman" w:hAnsi="Calibri" w:cs="Calibri"/>
          <w:color w:val="000000" w:themeColor="text1"/>
          <w:sz w:val="24"/>
          <w:szCs w:val="24"/>
        </w:rPr>
      </w:pPr>
      <w:r w:rsidRPr="00251CDC">
        <w:rPr>
          <w:rFonts w:ascii="Calibri" w:eastAsia="Times New Roman" w:hAnsi="Calibri" w:cs="Calibri"/>
          <w:sz w:val="24"/>
          <w:szCs w:val="24"/>
        </w:rPr>
        <w:t xml:space="preserve">DIY measures </w:t>
      </w:r>
      <w:r w:rsidR="00810AFB">
        <w:rPr>
          <w:rFonts w:ascii="Calibri" w:eastAsia="Times New Roman" w:hAnsi="Calibri" w:cs="Calibri"/>
          <w:sz w:val="24"/>
          <w:szCs w:val="24"/>
        </w:rPr>
        <w:t xml:space="preserve">such as </w:t>
      </w:r>
      <w:r w:rsidRPr="00251CDC">
        <w:rPr>
          <w:rFonts w:ascii="Calibri" w:eastAsia="Times New Roman" w:hAnsi="Calibri" w:cs="Calibri"/>
          <w:sz w:val="24"/>
          <w:szCs w:val="24"/>
        </w:rPr>
        <w:t xml:space="preserve">attic insulation, smart </w:t>
      </w:r>
      <w:r w:rsidR="002E0E69" w:rsidRPr="00251CDC">
        <w:rPr>
          <w:rFonts w:ascii="Calibri" w:eastAsia="Times New Roman" w:hAnsi="Calibri" w:cs="Calibri"/>
          <w:sz w:val="24"/>
          <w:szCs w:val="24"/>
        </w:rPr>
        <w:t>thermostats,</w:t>
      </w:r>
      <w:r w:rsidRPr="00251CDC">
        <w:rPr>
          <w:rFonts w:ascii="Calibri" w:eastAsia="Times New Roman" w:hAnsi="Calibri" w:cs="Calibri"/>
          <w:sz w:val="24"/>
          <w:szCs w:val="24"/>
        </w:rPr>
        <w:t xml:space="preserve"> and heat pump water heaters.</w:t>
      </w:r>
    </w:p>
    <w:p w14:paraId="5005625D" w14:textId="08B89A92" w:rsidR="0027793F" w:rsidRPr="00B359C3" w:rsidRDefault="0027793F" w:rsidP="0027793F">
      <w:pPr>
        <w:numPr>
          <w:ilvl w:val="2"/>
          <w:numId w:val="2"/>
        </w:numPr>
        <w:spacing w:after="0" w:line="276" w:lineRule="auto"/>
        <w:contextualSpacing/>
        <w:rPr>
          <w:rFonts w:ascii="Calibri" w:eastAsia="Times New Roman" w:hAnsi="Calibri" w:cs="Calibri"/>
          <w:color w:val="000000" w:themeColor="text1"/>
          <w:sz w:val="24"/>
          <w:szCs w:val="24"/>
        </w:rPr>
      </w:pPr>
      <w:r>
        <w:rPr>
          <w:rFonts w:ascii="Calibri" w:eastAsia="Times New Roman" w:hAnsi="Calibri" w:cs="Calibri"/>
          <w:sz w:val="24"/>
          <w:szCs w:val="24"/>
        </w:rPr>
        <w:t>Whole House Home Energy Assessments</w:t>
      </w:r>
      <w:r w:rsidR="00AC29A1">
        <w:rPr>
          <w:rFonts w:ascii="Calibri" w:eastAsia="Times New Roman" w:hAnsi="Calibri" w:cs="Calibri"/>
          <w:sz w:val="24"/>
          <w:szCs w:val="24"/>
        </w:rPr>
        <w:t>.</w:t>
      </w:r>
    </w:p>
    <w:bookmarkEnd w:id="8"/>
    <w:p w14:paraId="799B6917" w14:textId="77777777" w:rsidR="0027793F" w:rsidRPr="004866D0" w:rsidRDefault="0027793F" w:rsidP="0027793F">
      <w:pPr>
        <w:numPr>
          <w:ilvl w:val="1"/>
          <w:numId w:val="2"/>
        </w:numPr>
        <w:shd w:val="clear" w:color="auto" w:fill="FFFFFF" w:themeFill="background1"/>
        <w:spacing w:after="0" w:line="240" w:lineRule="auto"/>
        <w:rPr>
          <w:rFonts w:ascii="Calibri" w:eastAsia="Times New Roman" w:hAnsi="Calibri" w:cs="Segoe UI"/>
          <w:color w:val="000000"/>
          <w:sz w:val="24"/>
          <w:szCs w:val="24"/>
        </w:rPr>
      </w:pPr>
      <w:r w:rsidRPr="0ADD88E8">
        <w:rPr>
          <w:rFonts w:ascii="Calibri" w:eastAsia="Times New Roman" w:hAnsi="Calibri" w:cs="Segoe UI"/>
          <w:color w:val="000000" w:themeColor="text1"/>
          <w:sz w:val="24"/>
          <w:szCs w:val="24"/>
        </w:rPr>
        <w:t xml:space="preserve">Whole House participation*: </w:t>
      </w:r>
    </w:p>
    <w:p w14:paraId="5A1B995B" w14:textId="4686949F" w:rsidR="0027793F" w:rsidRPr="004866D0" w:rsidRDefault="00680460" w:rsidP="0027793F">
      <w:pPr>
        <w:numPr>
          <w:ilvl w:val="2"/>
          <w:numId w:val="2"/>
        </w:numPr>
        <w:shd w:val="clear" w:color="auto" w:fill="FFFFFF" w:themeFill="background1"/>
        <w:spacing w:after="0" w:line="240" w:lineRule="auto"/>
        <w:rPr>
          <w:rFonts w:ascii="Calibri" w:eastAsia="Times New Roman" w:hAnsi="Calibri" w:cs="Segoe UI"/>
          <w:color w:val="000000"/>
          <w:sz w:val="24"/>
          <w:szCs w:val="24"/>
        </w:rPr>
      </w:pPr>
      <w:r>
        <w:rPr>
          <w:rFonts w:ascii="Calibri" w:eastAsia="Times New Roman" w:hAnsi="Calibri" w:cs="Segoe UI"/>
          <w:color w:val="000000" w:themeColor="text1"/>
          <w:sz w:val="24"/>
          <w:szCs w:val="24"/>
        </w:rPr>
        <w:t>6,036</w:t>
      </w:r>
      <w:r w:rsidR="0027793F" w:rsidRPr="2EB8E360">
        <w:rPr>
          <w:rFonts w:ascii="Calibri" w:eastAsia="Times New Roman" w:hAnsi="Calibri" w:cs="Segoe UI"/>
          <w:color w:val="000000" w:themeColor="text1"/>
          <w:sz w:val="24"/>
          <w:szCs w:val="24"/>
        </w:rPr>
        <w:t xml:space="preserve"> measures (</w:t>
      </w:r>
      <w:r>
        <w:rPr>
          <w:rFonts w:ascii="Calibri" w:eastAsia="Times New Roman" w:hAnsi="Calibri" w:cs="Segoe UI"/>
          <w:color w:val="000000" w:themeColor="text1"/>
          <w:sz w:val="24"/>
          <w:szCs w:val="24"/>
        </w:rPr>
        <w:t>2,843,289</w:t>
      </w:r>
      <w:r w:rsidR="0027793F" w:rsidRPr="2EB8E360">
        <w:rPr>
          <w:rFonts w:ascii="Calibri" w:eastAsia="Times New Roman" w:hAnsi="Calibri" w:cs="Segoe UI"/>
          <w:color w:val="000000" w:themeColor="text1"/>
          <w:sz w:val="24"/>
          <w:szCs w:val="24"/>
        </w:rPr>
        <w:t xml:space="preserve"> kWh savings) were reported in 2020:</w:t>
      </w:r>
    </w:p>
    <w:p w14:paraId="6FD71797" w14:textId="47681F73" w:rsidR="0027793F" w:rsidRPr="004866D0" w:rsidRDefault="00680460" w:rsidP="0027793F">
      <w:pPr>
        <w:numPr>
          <w:ilvl w:val="3"/>
          <w:numId w:val="2"/>
        </w:numPr>
        <w:shd w:val="clear" w:color="auto" w:fill="FFFFFF" w:themeFill="background1"/>
        <w:spacing w:after="0" w:line="240" w:lineRule="auto"/>
        <w:rPr>
          <w:rFonts w:ascii="Calibri" w:eastAsia="Times New Roman" w:hAnsi="Calibri" w:cs="Segoe UI"/>
          <w:color w:val="000000"/>
          <w:sz w:val="24"/>
          <w:szCs w:val="24"/>
        </w:rPr>
      </w:pPr>
      <w:r>
        <w:rPr>
          <w:rFonts w:ascii="Calibri" w:eastAsia="Times New Roman" w:hAnsi="Calibri" w:cs="Segoe UI"/>
          <w:color w:val="000000" w:themeColor="text1"/>
          <w:sz w:val="24"/>
          <w:szCs w:val="24"/>
        </w:rPr>
        <w:t>7</w:t>
      </w:r>
      <w:r w:rsidR="00D30BD5">
        <w:rPr>
          <w:rFonts w:ascii="Calibri" w:eastAsia="Times New Roman" w:hAnsi="Calibri" w:cs="Segoe UI"/>
          <w:color w:val="000000" w:themeColor="text1"/>
          <w:sz w:val="24"/>
          <w:szCs w:val="24"/>
        </w:rPr>
        <w:t>39</w:t>
      </w:r>
      <w:r w:rsidR="0027793F" w:rsidRPr="4F4A2828">
        <w:rPr>
          <w:rFonts w:ascii="Calibri" w:eastAsia="Times New Roman" w:hAnsi="Calibri" w:cs="Segoe UI"/>
          <w:color w:val="000000" w:themeColor="text1"/>
          <w:sz w:val="24"/>
          <w:szCs w:val="24"/>
        </w:rPr>
        <w:t xml:space="preserve"> single-family homes with </w:t>
      </w:r>
      <w:r>
        <w:rPr>
          <w:rFonts w:ascii="Calibri" w:eastAsia="Times New Roman" w:hAnsi="Calibri" w:cs="Segoe UI"/>
          <w:color w:val="000000" w:themeColor="text1"/>
          <w:sz w:val="24"/>
          <w:szCs w:val="24"/>
        </w:rPr>
        <w:t>5,672</w:t>
      </w:r>
      <w:r w:rsidR="0027793F">
        <w:rPr>
          <w:rFonts w:ascii="Calibri" w:eastAsia="Times New Roman" w:hAnsi="Calibri" w:cs="Segoe UI"/>
          <w:color w:val="000000" w:themeColor="text1"/>
          <w:sz w:val="24"/>
          <w:szCs w:val="24"/>
        </w:rPr>
        <w:t xml:space="preserve"> </w:t>
      </w:r>
      <w:r w:rsidR="0027793F" w:rsidRPr="4F4A2828">
        <w:rPr>
          <w:rFonts w:ascii="Calibri" w:eastAsia="Times New Roman" w:hAnsi="Calibri" w:cs="Segoe UI"/>
          <w:color w:val="000000" w:themeColor="text1"/>
          <w:sz w:val="24"/>
          <w:szCs w:val="24"/>
        </w:rPr>
        <w:t>measures.</w:t>
      </w:r>
    </w:p>
    <w:p w14:paraId="29B0EC66" w14:textId="2DA8B4CA" w:rsidR="0027793F" w:rsidRPr="004866D0" w:rsidRDefault="00680460" w:rsidP="0027793F">
      <w:pPr>
        <w:numPr>
          <w:ilvl w:val="3"/>
          <w:numId w:val="2"/>
        </w:numPr>
        <w:spacing w:after="0" w:line="240" w:lineRule="auto"/>
        <w:rPr>
          <w:sz w:val="24"/>
          <w:szCs w:val="24"/>
        </w:rPr>
      </w:pPr>
      <w:r>
        <w:rPr>
          <w:sz w:val="24"/>
          <w:szCs w:val="24"/>
        </w:rPr>
        <w:t>35</w:t>
      </w:r>
      <w:r w:rsidR="0027793F" w:rsidRPr="09569492">
        <w:rPr>
          <w:sz w:val="24"/>
          <w:szCs w:val="24"/>
        </w:rPr>
        <w:t xml:space="preserve"> multi-family units with </w:t>
      </w:r>
      <w:r>
        <w:rPr>
          <w:sz w:val="24"/>
          <w:szCs w:val="24"/>
        </w:rPr>
        <w:t>364</w:t>
      </w:r>
      <w:r w:rsidR="0027793F" w:rsidRPr="09569492">
        <w:rPr>
          <w:sz w:val="24"/>
          <w:szCs w:val="24"/>
        </w:rPr>
        <w:t xml:space="preserve"> measures.</w:t>
      </w:r>
    </w:p>
    <w:p w14:paraId="0369D84E" w14:textId="77777777" w:rsidR="0027793F" w:rsidRPr="004866D0" w:rsidRDefault="0027793F" w:rsidP="0027793F">
      <w:pPr>
        <w:spacing w:after="0" w:line="240" w:lineRule="auto"/>
        <w:ind w:left="2520"/>
        <w:rPr>
          <w:rFonts w:cs="Times New Roman"/>
          <w:color w:val="201F1E"/>
          <w:sz w:val="24"/>
          <w:szCs w:val="24"/>
        </w:rPr>
      </w:pPr>
      <w:r w:rsidRPr="004866D0">
        <w:rPr>
          <w:i/>
          <w:iCs/>
          <w:sz w:val="24"/>
          <w:szCs w:val="24"/>
          <w:bdr w:val="none" w:sz="0" w:space="0" w:color="auto" w:frame="1"/>
        </w:rPr>
        <w:t>*Does not reflect the number of homes/units that participated in home assessment without making improvements.</w:t>
      </w:r>
    </w:p>
    <w:p w14:paraId="0E9BD43F" w14:textId="77777777" w:rsidR="0027793F" w:rsidRPr="00A96804" w:rsidRDefault="0027793F" w:rsidP="0027793F">
      <w:pPr>
        <w:numPr>
          <w:ilvl w:val="1"/>
          <w:numId w:val="4"/>
        </w:numPr>
        <w:shd w:val="clear" w:color="auto" w:fill="FFFFFF"/>
        <w:spacing w:after="0" w:line="253" w:lineRule="atLeast"/>
        <w:rPr>
          <w:rFonts w:ascii="Calibri" w:eastAsia="Times New Roman" w:hAnsi="Calibri" w:cs="Segoe UI"/>
          <w:color w:val="201F1E"/>
          <w:sz w:val="24"/>
          <w:szCs w:val="24"/>
        </w:rPr>
      </w:pPr>
      <w:r w:rsidRPr="00A96804">
        <w:rPr>
          <w:rFonts w:ascii="Calibri" w:eastAsia="Times New Roman" w:hAnsi="Calibri" w:cs="Segoe UI"/>
          <w:color w:val="000000"/>
          <w:sz w:val="24"/>
          <w:szCs w:val="24"/>
          <w:bdr w:val="none" w:sz="0" w:space="0" w:color="auto" w:frame="1"/>
        </w:rPr>
        <w:t>Individual Improvement participation:</w:t>
      </w:r>
    </w:p>
    <w:p w14:paraId="0B2A394D" w14:textId="58FC6DDF" w:rsidR="0027793F" w:rsidRPr="00A96804" w:rsidRDefault="00FF4156" w:rsidP="0027793F">
      <w:pPr>
        <w:numPr>
          <w:ilvl w:val="2"/>
          <w:numId w:val="4"/>
        </w:numPr>
        <w:shd w:val="clear" w:color="auto" w:fill="FFFFFF" w:themeFill="background1"/>
        <w:spacing w:after="0" w:line="240" w:lineRule="auto"/>
        <w:rPr>
          <w:rFonts w:ascii="Calibri" w:eastAsia="Times New Roman" w:hAnsi="Calibri" w:cs="Segoe UI"/>
          <w:color w:val="000000"/>
          <w:sz w:val="24"/>
          <w:szCs w:val="24"/>
        </w:rPr>
      </w:pPr>
      <w:r>
        <w:rPr>
          <w:rFonts w:ascii="Calibri" w:eastAsia="Times New Roman" w:hAnsi="Calibri" w:cs="Segoe UI"/>
          <w:color w:val="000000" w:themeColor="text1"/>
          <w:sz w:val="24"/>
          <w:szCs w:val="24"/>
        </w:rPr>
        <w:t>37,310</w:t>
      </w:r>
      <w:r w:rsidR="0027793F" w:rsidRPr="69F8FF7F">
        <w:rPr>
          <w:rFonts w:ascii="Calibri" w:eastAsia="Times New Roman" w:hAnsi="Calibri" w:cs="Segoe UI"/>
          <w:color w:val="000000" w:themeColor="text1"/>
          <w:sz w:val="24"/>
          <w:szCs w:val="24"/>
        </w:rPr>
        <w:t xml:space="preserve"> measures (</w:t>
      </w:r>
      <w:r>
        <w:rPr>
          <w:rFonts w:ascii="Calibri" w:eastAsia="Times New Roman" w:hAnsi="Calibri" w:cs="Segoe UI"/>
          <w:color w:val="000000" w:themeColor="text1"/>
          <w:sz w:val="24"/>
          <w:szCs w:val="24"/>
        </w:rPr>
        <w:t xml:space="preserve">17,072,329 </w:t>
      </w:r>
      <w:r w:rsidR="0027793F" w:rsidRPr="69F8FF7F">
        <w:rPr>
          <w:rFonts w:ascii="Calibri" w:eastAsia="Times New Roman" w:hAnsi="Calibri" w:cs="Segoe UI"/>
          <w:color w:val="000000" w:themeColor="text1"/>
          <w:sz w:val="24"/>
          <w:szCs w:val="24"/>
        </w:rPr>
        <w:t>kWh savings) were reported in 2020:</w:t>
      </w:r>
    </w:p>
    <w:p w14:paraId="6DE4EC3A" w14:textId="34AD2145" w:rsidR="0027793F" w:rsidRPr="00A96804" w:rsidRDefault="00FF4156" w:rsidP="0027793F">
      <w:pPr>
        <w:numPr>
          <w:ilvl w:val="3"/>
          <w:numId w:val="4"/>
        </w:numPr>
        <w:spacing w:after="0" w:line="240" w:lineRule="auto"/>
        <w:rPr>
          <w:sz w:val="24"/>
          <w:szCs w:val="24"/>
        </w:rPr>
      </w:pPr>
      <w:r>
        <w:rPr>
          <w:sz w:val="24"/>
          <w:szCs w:val="24"/>
        </w:rPr>
        <w:t>32,605</w:t>
      </w:r>
      <w:r w:rsidR="0027793F" w:rsidRPr="00A96804">
        <w:rPr>
          <w:sz w:val="24"/>
          <w:szCs w:val="24"/>
        </w:rPr>
        <w:t xml:space="preserve"> single-family measures (</w:t>
      </w:r>
      <w:r>
        <w:rPr>
          <w:sz w:val="24"/>
          <w:szCs w:val="24"/>
        </w:rPr>
        <w:t>13,824,520</w:t>
      </w:r>
      <w:r w:rsidR="0027793F" w:rsidRPr="00A96804">
        <w:rPr>
          <w:sz w:val="24"/>
          <w:szCs w:val="24"/>
        </w:rPr>
        <w:t xml:space="preserve"> kWh</w:t>
      </w:r>
      <w:r w:rsidR="0027793F">
        <w:rPr>
          <w:sz w:val="24"/>
          <w:szCs w:val="24"/>
        </w:rPr>
        <w:t xml:space="preserve"> savings</w:t>
      </w:r>
      <w:r w:rsidR="0027793F" w:rsidRPr="00A96804">
        <w:rPr>
          <w:sz w:val="24"/>
          <w:szCs w:val="24"/>
        </w:rPr>
        <w:t xml:space="preserve">) were </w:t>
      </w:r>
      <w:r w:rsidR="0027793F" w:rsidRPr="00B7198F">
        <w:rPr>
          <w:sz w:val="24"/>
          <w:szCs w:val="24"/>
        </w:rPr>
        <w:t>installed</w:t>
      </w:r>
      <w:r w:rsidR="0027793F" w:rsidRPr="008C4216">
        <w:rPr>
          <w:sz w:val="24"/>
          <w:szCs w:val="24"/>
        </w:rPr>
        <w:t xml:space="preserve"> </w:t>
      </w:r>
      <w:proofErr w:type="gramStart"/>
      <w:r w:rsidR="0027793F" w:rsidRPr="00A96804">
        <w:rPr>
          <w:sz w:val="24"/>
          <w:szCs w:val="24"/>
        </w:rPr>
        <w:t>as a result of</w:t>
      </w:r>
      <w:proofErr w:type="gramEnd"/>
      <w:r w:rsidR="0027793F" w:rsidRPr="00A96804">
        <w:rPr>
          <w:sz w:val="24"/>
          <w:szCs w:val="24"/>
        </w:rPr>
        <w:t xml:space="preserve"> the Marketplace thermostat program.</w:t>
      </w:r>
    </w:p>
    <w:p w14:paraId="02476230" w14:textId="736FEDAE" w:rsidR="0027793F" w:rsidRPr="00A96804" w:rsidRDefault="00FF4156" w:rsidP="0027793F">
      <w:pPr>
        <w:numPr>
          <w:ilvl w:val="3"/>
          <w:numId w:val="4"/>
        </w:numPr>
        <w:spacing w:after="0" w:line="240" w:lineRule="auto"/>
        <w:rPr>
          <w:rFonts w:eastAsiaTheme="minorEastAsia"/>
          <w:sz w:val="24"/>
          <w:szCs w:val="24"/>
        </w:rPr>
      </w:pPr>
      <w:r>
        <w:rPr>
          <w:sz w:val="24"/>
          <w:szCs w:val="24"/>
        </w:rPr>
        <w:lastRenderedPageBreak/>
        <w:t>3,253</w:t>
      </w:r>
      <w:r w:rsidR="0027793F" w:rsidRPr="7F38E0D6">
        <w:rPr>
          <w:sz w:val="24"/>
          <w:szCs w:val="24"/>
        </w:rPr>
        <w:t xml:space="preserve"> multi-family measures (</w:t>
      </w:r>
      <w:r>
        <w:rPr>
          <w:sz w:val="24"/>
          <w:szCs w:val="24"/>
        </w:rPr>
        <w:t>1,551,681</w:t>
      </w:r>
      <w:r w:rsidR="0027793F" w:rsidRPr="7F38E0D6">
        <w:rPr>
          <w:sz w:val="24"/>
          <w:szCs w:val="24"/>
        </w:rPr>
        <w:t xml:space="preserve"> kWh savings) were installed </w:t>
      </w:r>
      <w:proofErr w:type="gramStart"/>
      <w:r w:rsidR="0027793F" w:rsidRPr="7F38E0D6">
        <w:rPr>
          <w:sz w:val="24"/>
          <w:szCs w:val="24"/>
        </w:rPr>
        <w:t>as a result of</w:t>
      </w:r>
      <w:proofErr w:type="gramEnd"/>
      <w:r w:rsidR="0027793F" w:rsidRPr="7F38E0D6">
        <w:rPr>
          <w:sz w:val="24"/>
          <w:szCs w:val="24"/>
        </w:rPr>
        <w:t xml:space="preserve"> the Marketplace thermostat program. </w:t>
      </w:r>
    </w:p>
    <w:p w14:paraId="419CEF8F" w14:textId="4314C467" w:rsidR="0027793F" w:rsidRDefault="0027793F" w:rsidP="0027793F">
      <w:pPr>
        <w:numPr>
          <w:ilvl w:val="3"/>
          <w:numId w:val="4"/>
        </w:numPr>
        <w:spacing w:after="0" w:line="240" w:lineRule="auto"/>
        <w:rPr>
          <w:sz w:val="24"/>
          <w:szCs w:val="24"/>
        </w:rPr>
      </w:pPr>
      <w:r w:rsidRPr="7F38E0D6">
        <w:rPr>
          <w:sz w:val="24"/>
          <w:szCs w:val="24"/>
        </w:rPr>
        <w:t xml:space="preserve">The remaining </w:t>
      </w:r>
      <w:r w:rsidR="00680460">
        <w:rPr>
          <w:sz w:val="24"/>
          <w:szCs w:val="24"/>
        </w:rPr>
        <w:t>1,452</w:t>
      </w:r>
      <w:r w:rsidRPr="7F38E0D6">
        <w:rPr>
          <w:sz w:val="24"/>
          <w:szCs w:val="24"/>
        </w:rPr>
        <w:t xml:space="preserve"> measures (</w:t>
      </w:r>
      <w:r w:rsidR="00F97296">
        <w:rPr>
          <w:sz w:val="24"/>
          <w:szCs w:val="24"/>
        </w:rPr>
        <w:t>1,696,12</w:t>
      </w:r>
      <w:r w:rsidR="00FF4156">
        <w:rPr>
          <w:sz w:val="24"/>
          <w:szCs w:val="24"/>
        </w:rPr>
        <w:t>8</w:t>
      </w:r>
      <w:r w:rsidRPr="7F38E0D6">
        <w:rPr>
          <w:sz w:val="24"/>
          <w:szCs w:val="24"/>
        </w:rPr>
        <w:t xml:space="preserve"> kWh savings) installed were non-thermostat single-family improvements.</w:t>
      </w:r>
    </w:p>
    <w:p w14:paraId="0EBF7910" w14:textId="77777777" w:rsidR="007E6E99" w:rsidRPr="0027793F" w:rsidRDefault="007E6E99" w:rsidP="007E6E99">
      <w:pPr>
        <w:spacing w:after="0" w:line="240" w:lineRule="auto"/>
        <w:ind w:left="2880"/>
        <w:rPr>
          <w:sz w:val="24"/>
          <w:szCs w:val="24"/>
        </w:rPr>
      </w:pPr>
    </w:p>
    <w:p w14:paraId="3C9F06C8" w14:textId="77777777" w:rsidR="0027793F" w:rsidRPr="000B7F0B" w:rsidRDefault="0027793F" w:rsidP="0027793F">
      <w:pPr>
        <w:numPr>
          <w:ilvl w:val="0"/>
          <w:numId w:val="2"/>
        </w:numPr>
        <w:spacing w:after="200" w:line="276" w:lineRule="auto"/>
        <w:contextualSpacing/>
        <w:rPr>
          <w:rFonts w:ascii="Calibri" w:eastAsia="Times New Roman" w:hAnsi="Calibri" w:cs="Calibri"/>
          <w:sz w:val="24"/>
          <w:szCs w:val="24"/>
        </w:rPr>
      </w:pPr>
      <w:r w:rsidRPr="000B7F0B">
        <w:rPr>
          <w:rFonts w:ascii="Calibri" w:eastAsia="Times New Roman" w:hAnsi="Calibri" w:cs="Calibri"/>
          <w:sz w:val="24"/>
          <w:szCs w:val="24"/>
        </w:rPr>
        <w:t>Power Credit</w:t>
      </w:r>
    </w:p>
    <w:p w14:paraId="3BD40B96" w14:textId="3EA5D434" w:rsidR="0027793F" w:rsidRPr="002C4F31" w:rsidRDefault="00CC02F0" w:rsidP="0027793F">
      <w:pPr>
        <w:numPr>
          <w:ilvl w:val="1"/>
          <w:numId w:val="2"/>
        </w:numPr>
        <w:spacing w:after="200" w:line="276" w:lineRule="auto"/>
        <w:contextualSpacing/>
        <w:rPr>
          <w:rFonts w:ascii="Calibri" w:eastAsia="Times New Roman" w:hAnsi="Calibri" w:cs="Calibri"/>
          <w:sz w:val="24"/>
          <w:szCs w:val="24"/>
        </w:rPr>
      </w:pPr>
      <w:r>
        <w:rPr>
          <w:rFonts w:ascii="Calibri" w:eastAsia="Times New Roman" w:hAnsi="Calibri" w:cs="Calibri"/>
          <w:sz w:val="24"/>
          <w:szCs w:val="24"/>
        </w:rPr>
        <w:t>C</w:t>
      </w:r>
      <w:r w:rsidR="0027793F" w:rsidRPr="002C4F31">
        <w:rPr>
          <w:rFonts w:ascii="Calibri" w:eastAsia="Times New Roman" w:hAnsi="Calibri" w:cs="Calibri"/>
          <w:sz w:val="24"/>
          <w:szCs w:val="24"/>
        </w:rPr>
        <w:t>ompleted 18 installations</w:t>
      </w:r>
      <w:r>
        <w:rPr>
          <w:rFonts w:ascii="Calibri" w:eastAsia="Times New Roman" w:hAnsi="Calibri" w:cs="Calibri"/>
          <w:sz w:val="24"/>
          <w:szCs w:val="24"/>
        </w:rPr>
        <w:t xml:space="preserve"> in Q1</w:t>
      </w:r>
      <w:r w:rsidR="0027793F" w:rsidRPr="002C4F31">
        <w:rPr>
          <w:rFonts w:ascii="Calibri" w:eastAsia="Times New Roman" w:hAnsi="Calibri" w:cs="Calibri"/>
          <w:sz w:val="24"/>
          <w:szCs w:val="24"/>
        </w:rPr>
        <w:t xml:space="preserve"> (</w:t>
      </w:r>
      <w:r w:rsidR="0027793F">
        <w:rPr>
          <w:rFonts w:ascii="Calibri" w:eastAsia="Times New Roman" w:hAnsi="Calibri" w:cs="Calibri"/>
          <w:sz w:val="24"/>
          <w:szCs w:val="24"/>
        </w:rPr>
        <w:t xml:space="preserve">for this program, </w:t>
      </w:r>
      <w:r w:rsidR="0027793F" w:rsidRPr="002C4F31">
        <w:rPr>
          <w:rFonts w:ascii="Calibri" w:eastAsia="Times New Roman" w:hAnsi="Calibri" w:cs="Calibri"/>
          <w:sz w:val="24"/>
          <w:szCs w:val="24"/>
        </w:rPr>
        <w:t>installations are performed at customer request only).</w:t>
      </w:r>
    </w:p>
    <w:p w14:paraId="6E1CEB68" w14:textId="12411B73" w:rsidR="0027793F" w:rsidRDefault="0027793F" w:rsidP="0027793F">
      <w:pPr>
        <w:numPr>
          <w:ilvl w:val="2"/>
          <w:numId w:val="2"/>
        </w:numPr>
        <w:spacing w:after="200" w:line="276" w:lineRule="auto"/>
        <w:contextualSpacing/>
        <w:rPr>
          <w:rFonts w:ascii="Calibri" w:eastAsia="Times New Roman" w:hAnsi="Calibri" w:cs="Calibri"/>
          <w:sz w:val="24"/>
          <w:szCs w:val="24"/>
        </w:rPr>
      </w:pPr>
      <w:r w:rsidRPr="4EF37D0F">
        <w:rPr>
          <w:rFonts w:ascii="Calibri" w:eastAsia="Times New Roman" w:hAnsi="Calibri" w:cs="Calibri"/>
          <w:sz w:val="24"/>
          <w:szCs w:val="24"/>
        </w:rPr>
        <w:t xml:space="preserve">No new installations to report </w:t>
      </w:r>
      <w:r w:rsidR="00CC02F0">
        <w:rPr>
          <w:rFonts w:ascii="Calibri" w:eastAsia="Times New Roman" w:hAnsi="Calibri" w:cs="Calibri"/>
          <w:sz w:val="24"/>
          <w:szCs w:val="24"/>
        </w:rPr>
        <w:t>YTD through</w:t>
      </w:r>
      <w:r w:rsidRPr="4EF37D0F">
        <w:rPr>
          <w:rFonts w:ascii="Calibri" w:eastAsia="Times New Roman" w:hAnsi="Calibri" w:cs="Calibri"/>
          <w:sz w:val="24"/>
          <w:szCs w:val="24"/>
        </w:rPr>
        <w:t xml:space="preserve"> Q4. </w:t>
      </w:r>
    </w:p>
    <w:p w14:paraId="3C2002EB" w14:textId="77777777" w:rsidR="007E6E99" w:rsidRPr="0027793F" w:rsidRDefault="007E6E99" w:rsidP="007E6E99">
      <w:pPr>
        <w:spacing w:after="200" w:line="276" w:lineRule="auto"/>
        <w:ind w:left="2160"/>
        <w:contextualSpacing/>
        <w:rPr>
          <w:rFonts w:ascii="Calibri" w:eastAsia="Times New Roman" w:hAnsi="Calibri" w:cs="Calibri"/>
          <w:sz w:val="24"/>
          <w:szCs w:val="24"/>
        </w:rPr>
      </w:pPr>
    </w:p>
    <w:p w14:paraId="667FD417" w14:textId="77777777" w:rsidR="0027793F" w:rsidRPr="000B7F0B" w:rsidRDefault="0027793F" w:rsidP="0027793F">
      <w:pPr>
        <w:numPr>
          <w:ilvl w:val="0"/>
          <w:numId w:val="2"/>
        </w:numPr>
        <w:spacing w:after="200" w:line="276" w:lineRule="auto"/>
        <w:contextualSpacing/>
        <w:rPr>
          <w:rFonts w:ascii="Calibri" w:eastAsia="Times New Roman" w:hAnsi="Calibri" w:cs="Calibri"/>
          <w:sz w:val="24"/>
          <w:szCs w:val="24"/>
        </w:rPr>
      </w:pPr>
      <w:r w:rsidRPr="000B7F0B">
        <w:rPr>
          <w:rFonts w:ascii="Calibri" w:eastAsia="Times New Roman" w:hAnsi="Calibri" w:cs="Calibri"/>
          <w:sz w:val="24"/>
          <w:szCs w:val="24"/>
        </w:rPr>
        <w:t>HopeWorks</w:t>
      </w:r>
    </w:p>
    <w:p w14:paraId="50F851FE" w14:textId="0640C4F3" w:rsidR="0027793F" w:rsidRDefault="0027793F" w:rsidP="0027793F">
      <w:pPr>
        <w:numPr>
          <w:ilvl w:val="1"/>
          <w:numId w:val="2"/>
        </w:numPr>
        <w:spacing w:after="200" w:line="276" w:lineRule="auto"/>
        <w:contextualSpacing/>
        <w:rPr>
          <w:rFonts w:ascii="Calibri" w:eastAsia="Times New Roman" w:hAnsi="Calibri" w:cs="Calibri"/>
          <w:sz w:val="24"/>
          <w:szCs w:val="24"/>
        </w:rPr>
      </w:pPr>
      <w:r w:rsidRPr="19F8F2FF">
        <w:rPr>
          <w:rFonts w:ascii="Calibri" w:eastAsia="Times New Roman" w:hAnsi="Calibri" w:cs="Calibri"/>
          <w:sz w:val="24"/>
          <w:szCs w:val="24"/>
        </w:rPr>
        <w:t xml:space="preserve">The program was paused in mid-March due to the COVID-19 pandemic and was un-paused for Q4. </w:t>
      </w:r>
    </w:p>
    <w:p w14:paraId="7DD049E2" w14:textId="738277A4" w:rsidR="000B7F0B" w:rsidRPr="002C4F31" w:rsidRDefault="00C01CF2" w:rsidP="0027793F">
      <w:pPr>
        <w:numPr>
          <w:ilvl w:val="1"/>
          <w:numId w:val="2"/>
        </w:numPr>
        <w:spacing w:after="200" w:line="276" w:lineRule="auto"/>
        <w:contextualSpacing/>
        <w:rPr>
          <w:rFonts w:ascii="Calibri" w:eastAsia="Times New Roman" w:hAnsi="Calibri" w:cs="Calibri"/>
          <w:sz w:val="24"/>
          <w:szCs w:val="24"/>
        </w:rPr>
      </w:pPr>
      <w:r>
        <w:rPr>
          <w:rFonts w:ascii="Calibri" w:eastAsia="Times New Roman" w:hAnsi="Calibri" w:cs="Calibri"/>
          <w:sz w:val="24"/>
          <w:szCs w:val="24"/>
        </w:rPr>
        <w:t xml:space="preserve">YTD </w:t>
      </w:r>
      <w:r w:rsidR="000B7F0B">
        <w:rPr>
          <w:rFonts w:ascii="Calibri" w:eastAsia="Times New Roman" w:hAnsi="Calibri" w:cs="Calibri"/>
          <w:sz w:val="24"/>
          <w:szCs w:val="24"/>
        </w:rPr>
        <w:t xml:space="preserve">Through Q4, the program </w:t>
      </w:r>
      <w:r w:rsidR="00CC02F0">
        <w:rPr>
          <w:rFonts w:ascii="Calibri" w:eastAsia="Times New Roman" w:hAnsi="Calibri" w:cs="Calibri"/>
          <w:sz w:val="24"/>
          <w:szCs w:val="24"/>
        </w:rPr>
        <w:t>w</w:t>
      </w:r>
      <w:r w:rsidR="000B7F0B">
        <w:rPr>
          <w:rFonts w:ascii="Calibri" w:eastAsia="Times New Roman" w:hAnsi="Calibri" w:cs="Calibri"/>
          <w:sz w:val="24"/>
          <w:szCs w:val="24"/>
        </w:rPr>
        <w:t xml:space="preserve">as </w:t>
      </w:r>
      <w:r w:rsidR="000B7F0B" w:rsidRPr="000B7F0B">
        <w:rPr>
          <w:rFonts w:ascii="Calibri" w:eastAsia="Times New Roman" w:hAnsi="Calibri" w:cs="Calibri"/>
          <w:sz w:val="24"/>
          <w:szCs w:val="24"/>
        </w:rPr>
        <w:t>pre-funded $400,172 in spending to make improvements on customer homes.</w:t>
      </w:r>
    </w:p>
    <w:p w14:paraId="616E5CBB" w14:textId="40F3B371" w:rsidR="0027793F" w:rsidRPr="002C4F31" w:rsidRDefault="000B7F0B" w:rsidP="5BC184A9">
      <w:pPr>
        <w:numPr>
          <w:ilvl w:val="1"/>
          <w:numId w:val="2"/>
        </w:numPr>
        <w:spacing w:after="200" w:line="276" w:lineRule="auto"/>
        <w:contextualSpacing/>
        <w:rPr>
          <w:rFonts w:eastAsiaTheme="minorEastAsia"/>
          <w:sz w:val="24"/>
          <w:szCs w:val="24"/>
        </w:rPr>
      </w:pPr>
      <w:r w:rsidRPr="5BC184A9">
        <w:rPr>
          <w:rFonts w:ascii="Calibri" w:eastAsia="Times New Roman" w:hAnsi="Calibri" w:cs="Calibri"/>
          <w:sz w:val="24"/>
          <w:szCs w:val="24"/>
        </w:rPr>
        <w:t>In 2020,</w:t>
      </w:r>
      <w:r w:rsidR="0027793F" w:rsidRPr="5BC184A9">
        <w:rPr>
          <w:rFonts w:ascii="Calibri" w:eastAsia="Times New Roman" w:hAnsi="Calibri" w:cs="Calibri"/>
          <w:sz w:val="24"/>
          <w:szCs w:val="24"/>
        </w:rPr>
        <w:t xml:space="preserve"> the program spent $350,000 to make improvements on 98</w:t>
      </w:r>
      <w:r w:rsidR="0027793F" w:rsidRPr="5BC184A9">
        <w:rPr>
          <w:rFonts w:ascii="Calibri" w:eastAsia="Calibri" w:hAnsi="Calibri" w:cs="Calibri"/>
          <w:color w:val="000000" w:themeColor="text1"/>
          <w:sz w:val="24"/>
          <w:szCs w:val="24"/>
        </w:rPr>
        <w:t xml:space="preserve"> single-family homes</w:t>
      </w:r>
      <w:r w:rsidR="0027793F" w:rsidRPr="5BC184A9">
        <w:rPr>
          <w:rFonts w:ascii="Calibri" w:eastAsia="Times New Roman" w:hAnsi="Calibri" w:cs="Calibri"/>
          <w:sz w:val="24"/>
          <w:szCs w:val="24"/>
        </w:rPr>
        <w:t>.</w:t>
      </w:r>
    </w:p>
    <w:p w14:paraId="33C1038F" w14:textId="3A7C18FE" w:rsidR="000B7F0B" w:rsidRPr="000B7F0B" w:rsidRDefault="000B7F0B" w:rsidP="000B7F0B">
      <w:pPr>
        <w:numPr>
          <w:ilvl w:val="2"/>
          <w:numId w:val="2"/>
        </w:numPr>
        <w:spacing w:after="200" w:line="276" w:lineRule="auto"/>
        <w:rPr>
          <w:sz w:val="24"/>
          <w:szCs w:val="24"/>
        </w:rPr>
      </w:pPr>
      <w:r w:rsidRPr="5BC184A9">
        <w:rPr>
          <w:rFonts w:ascii="Calibri" w:eastAsia="Times New Roman" w:hAnsi="Calibri" w:cs="Calibri"/>
          <w:sz w:val="24"/>
          <w:szCs w:val="24"/>
        </w:rPr>
        <w:t>In 2020</w:t>
      </w:r>
      <w:r w:rsidR="0027793F" w:rsidRPr="5BC184A9">
        <w:rPr>
          <w:rFonts w:ascii="Calibri" w:eastAsia="Times New Roman" w:hAnsi="Calibri" w:cs="Calibri"/>
          <w:sz w:val="24"/>
          <w:szCs w:val="24"/>
        </w:rPr>
        <w:t xml:space="preserve">, the program spent $32,848 to replace 10 Air Conditioning Systems in 10 single-family homes. </w:t>
      </w:r>
    </w:p>
    <w:p w14:paraId="11A61661" w14:textId="77777777" w:rsidR="0027793F" w:rsidRPr="00782EC8" w:rsidRDefault="0027793F" w:rsidP="0027793F">
      <w:pPr>
        <w:numPr>
          <w:ilvl w:val="0"/>
          <w:numId w:val="2"/>
        </w:numPr>
        <w:spacing w:after="0" w:line="276" w:lineRule="auto"/>
        <w:contextualSpacing/>
        <w:rPr>
          <w:rFonts w:ascii="Calibri" w:eastAsia="Times New Roman" w:hAnsi="Calibri" w:cs="Calibri"/>
          <w:sz w:val="24"/>
          <w:szCs w:val="24"/>
        </w:rPr>
      </w:pPr>
      <w:r w:rsidRPr="00782EC8">
        <w:rPr>
          <w:rFonts w:ascii="Calibri" w:eastAsia="Times New Roman" w:hAnsi="Calibri" w:cs="Calibri"/>
          <w:sz w:val="24"/>
          <w:szCs w:val="24"/>
        </w:rPr>
        <w:t>Home Energy Efficiency Assistance Program (HEEAP)</w:t>
      </w:r>
    </w:p>
    <w:p w14:paraId="2BB5310D" w14:textId="625FC6BB" w:rsidR="0027793F" w:rsidRPr="002C4F31" w:rsidRDefault="0027793F" w:rsidP="0027793F">
      <w:pPr>
        <w:numPr>
          <w:ilvl w:val="1"/>
          <w:numId w:val="2"/>
        </w:numPr>
        <w:spacing w:after="0" w:line="240" w:lineRule="auto"/>
        <w:rPr>
          <w:rFonts w:ascii="Calibri" w:eastAsia="Times New Roman" w:hAnsi="Calibri" w:cs="Calibri"/>
          <w:color w:val="000000" w:themeColor="text1"/>
          <w:sz w:val="24"/>
          <w:szCs w:val="24"/>
        </w:rPr>
      </w:pPr>
      <w:r w:rsidRPr="002C4F31">
        <w:rPr>
          <w:rFonts w:ascii="Calibri" w:eastAsia="Calibri" w:hAnsi="Calibri" w:cs="Calibri"/>
          <w:sz w:val="24"/>
          <w:szCs w:val="24"/>
        </w:rPr>
        <w:t>Th</w:t>
      </w:r>
      <w:r>
        <w:rPr>
          <w:rFonts w:ascii="Calibri" w:eastAsia="Calibri" w:hAnsi="Calibri" w:cs="Calibri"/>
          <w:sz w:val="24"/>
          <w:szCs w:val="24"/>
        </w:rPr>
        <w:t xml:space="preserve">e </w:t>
      </w:r>
      <w:r w:rsidRPr="002C4F31">
        <w:rPr>
          <w:rFonts w:ascii="Calibri" w:eastAsia="Calibri" w:hAnsi="Calibri" w:cs="Calibri"/>
          <w:sz w:val="24"/>
          <w:szCs w:val="24"/>
        </w:rPr>
        <w:t>progra</w:t>
      </w:r>
      <w:r w:rsidR="00F50337">
        <w:rPr>
          <w:rFonts w:ascii="Calibri" w:eastAsia="Calibri" w:hAnsi="Calibri" w:cs="Calibri"/>
          <w:sz w:val="24"/>
          <w:szCs w:val="24"/>
        </w:rPr>
        <w:t>m remain</w:t>
      </w:r>
      <w:r>
        <w:rPr>
          <w:rFonts w:ascii="Calibri" w:eastAsia="Calibri" w:hAnsi="Calibri" w:cs="Calibri"/>
          <w:sz w:val="24"/>
          <w:szCs w:val="24"/>
        </w:rPr>
        <w:t>s</w:t>
      </w:r>
      <w:r w:rsidRPr="002C4F31">
        <w:rPr>
          <w:rFonts w:ascii="Calibri" w:eastAsia="Calibri" w:hAnsi="Calibri" w:cs="Calibri"/>
          <w:sz w:val="24"/>
          <w:szCs w:val="24"/>
        </w:rPr>
        <w:t xml:space="preserve"> paused due to the COVID-19 pandemic.  </w:t>
      </w:r>
    </w:p>
    <w:p w14:paraId="612780D5" w14:textId="77777777" w:rsidR="0027793F" w:rsidRPr="002C4F31" w:rsidRDefault="0027793F" w:rsidP="0027793F">
      <w:pPr>
        <w:numPr>
          <w:ilvl w:val="2"/>
          <w:numId w:val="2"/>
        </w:numPr>
        <w:spacing w:after="0" w:line="240" w:lineRule="auto"/>
        <w:rPr>
          <w:rFonts w:ascii="Calibri" w:eastAsia="Times New Roman" w:hAnsi="Calibri" w:cs="Calibri"/>
          <w:color w:val="000000" w:themeColor="text1"/>
          <w:sz w:val="24"/>
          <w:szCs w:val="24"/>
        </w:rPr>
      </w:pPr>
      <w:r w:rsidRPr="002C4F31">
        <w:rPr>
          <w:rFonts w:ascii="Calibri" w:eastAsia="Calibri" w:hAnsi="Calibri" w:cs="Calibri"/>
          <w:sz w:val="24"/>
          <w:szCs w:val="24"/>
        </w:rPr>
        <w:t xml:space="preserve">Approximately 57 single-family customers are waitlisted. </w:t>
      </w:r>
    </w:p>
    <w:p w14:paraId="438665A9" w14:textId="42B75002" w:rsidR="0027793F" w:rsidRPr="002C4F31" w:rsidRDefault="0027793F" w:rsidP="0027793F">
      <w:pPr>
        <w:numPr>
          <w:ilvl w:val="2"/>
          <w:numId w:val="2"/>
        </w:numPr>
        <w:spacing w:after="0" w:line="240" w:lineRule="auto"/>
        <w:rPr>
          <w:rFonts w:ascii="Calibri" w:eastAsia="Times New Roman" w:hAnsi="Calibri" w:cs="Calibri"/>
          <w:color w:val="000000" w:themeColor="text1"/>
          <w:sz w:val="24"/>
          <w:szCs w:val="24"/>
        </w:rPr>
      </w:pPr>
      <w:r w:rsidRPr="002C4F31">
        <w:rPr>
          <w:rFonts w:ascii="Calibri" w:eastAsia="Calibri" w:hAnsi="Calibri" w:cs="Calibri"/>
          <w:sz w:val="24"/>
          <w:szCs w:val="24"/>
        </w:rPr>
        <w:t xml:space="preserve">Two housing authorities and one 50-unit mobile home complex have expressed interest in the program. </w:t>
      </w:r>
    </w:p>
    <w:p w14:paraId="15F6EF05" w14:textId="77777777" w:rsidR="0027793F" w:rsidRPr="002C4F31" w:rsidRDefault="0027793F" w:rsidP="0027793F">
      <w:pPr>
        <w:numPr>
          <w:ilvl w:val="1"/>
          <w:numId w:val="2"/>
        </w:numPr>
        <w:spacing w:after="0" w:line="240" w:lineRule="auto"/>
        <w:rPr>
          <w:rFonts w:ascii="Calibri" w:eastAsia="Times New Roman" w:hAnsi="Calibri" w:cs="Calibri"/>
          <w:color w:val="000000" w:themeColor="text1"/>
          <w:sz w:val="24"/>
          <w:szCs w:val="24"/>
        </w:rPr>
      </w:pPr>
      <w:r>
        <w:rPr>
          <w:rFonts w:ascii="Calibri" w:eastAsia="Calibri" w:hAnsi="Calibri" w:cs="Calibri"/>
          <w:sz w:val="24"/>
          <w:szCs w:val="24"/>
        </w:rPr>
        <w:t xml:space="preserve">Fully executed SOW’s for both </w:t>
      </w:r>
      <w:r w:rsidRPr="002C4F31">
        <w:rPr>
          <w:rFonts w:ascii="Calibri" w:eastAsia="Calibri" w:hAnsi="Calibri" w:cs="Calibri"/>
          <w:sz w:val="24"/>
          <w:szCs w:val="24"/>
        </w:rPr>
        <w:t>Equifax</w:t>
      </w:r>
      <w:r>
        <w:rPr>
          <w:rFonts w:ascii="Calibri" w:eastAsia="Calibri" w:hAnsi="Calibri" w:cs="Calibri"/>
          <w:sz w:val="24"/>
          <w:szCs w:val="24"/>
        </w:rPr>
        <w:t xml:space="preserve"> (I</w:t>
      </w:r>
      <w:r w:rsidRPr="002C4F31">
        <w:rPr>
          <w:rFonts w:ascii="Calibri" w:eastAsia="Calibri" w:hAnsi="Calibri" w:cs="Calibri"/>
          <w:sz w:val="24"/>
          <w:szCs w:val="24"/>
        </w:rPr>
        <w:t xml:space="preserve">ncome </w:t>
      </w:r>
      <w:r>
        <w:rPr>
          <w:rFonts w:ascii="Calibri" w:eastAsia="Calibri" w:hAnsi="Calibri" w:cs="Calibri"/>
          <w:sz w:val="24"/>
          <w:szCs w:val="24"/>
        </w:rPr>
        <w:t>V</w:t>
      </w:r>
      <w:r w:rsidRPr="002C4F31">
        <w:rPr>
          <w:rFonts w:ascii="Calibri" w:eastAsia="Calibri" w:hAnsi="Calibri" w:cs="Calibri"/>
          <w:sz w:val="24"/>
          <w:szCs w:val="24"/>
        </w:rPr>
        <w:t>erification</w:t>
      </w:r>
      <w:r>
        <w:rPr>
          <w:rFonts w:ascii="Calibri" w:eastAsia="Calibri" w:hAnsi="Calibri" w:cs="Calibri"/>
          <w:sz w:val="24"/>
          <w:szCs w:val="24"/>
        </w:rPr>
        <w:t>)</w:t>
      </w:r>
      <w:r w:rsidRPr="002C4F31">
        <w:rPr>
          <w:rFonts w:ascii="Calibri" w:eastAsia="Calibri" w:hAnsi="Calibri" w:cs="Calibri"/>
          <w:sz w:val="24"/>
          <w:szCs w:val="24"/>
        </w:rPr>
        <w:t xml:space="preserve"> and </w:t>
      </w:r>
      <w:r>
        <w:rPr>
          <w:rFonts w:ascii="Calibri" w:eastAsia="Calibri" w:hAnsi="Calibri" w:cs="Calibri"/>
          <w:sz w:val="24"/>
          <w:szCs w:val="24"/>
        </w:rPr>
        <w:t>Gridmates (D</w:t>
      </w:r>
      <w:r w:rsidRPr="002C4F31">
        <w:rPr>
          <w:rFonts w:ascii="Calibri" w:eastAsia="Calibri" w:hAnsi="Calibri" w:cs="Calibri"/>
          <w:sz w:val="24"/>
          <w:szCs w:val="24"/>
        </w:rPr>
        <w:t xml:space="preserve">onation </w:t>
      </w:r>
      <w:r>
        <w:rPr>
          <w:rFonts w:ascii="Calibri" w:eastAsia="Calibri" w:hAnsi="Calibri" w:cs="Calibri"/>
          <w:sz w:val="24"/>
          <w:szCs w:val="24"/>
        </w:rPr>
        <w:t>P</w:t>
      </w:r>
      <w:r w:rsidRPr="002C4F31">
        <w:rPr>
          <w:rFonts w:ascii="Calibri" w:eastAsia="Calibri" w:hAnsi="Calibri" w:cs="Calibri"/>
          <w:sz w:val="24"/>
          <w:szCs w:val="24"/>
        </w:rPr>
        <w:t>ortal</w:t>
      </w:r>
      <w:r>
        <w:rPr>
          <w:rFonts w:ascii="Calibri" w:eastAsia="Calibri" w:hAnsi="Calibri" w:cs="Calibri"/>
          <w:sz w:val="24"/>
          <w:szCs w:val="24"/>
        </w:rPr>
        <w:t>).</w:t>
      </w:r>
    </w:p>
    <w:p w14:paraId="3D3C5880" w14:textId="06800DF2" w:rsidR="0027793F" w:rsidRPr="00F641A0" w:rsidRDefault="00CC02F0" w:rsidP="0027793F">
      <w:pPr>
        <w:numPr>
          <w:ilvl w:val="1"/>
          <w:numId w:val="2"/>
        </w:numPr>
        <w:spacing w:after="0" w:line="240" w:lineRule="auto"/>
        <w:rPr>
          <w:color w:val="000000" w:themeColor="text1"/>
          <w:sz w:val="24"/>
          <w:szCs w:val="24"/>
        </w:rPr>
      </w:pPr>
      <w:r>
        <w:rPr>
          <w:rFonts w:ascii="Calibri" w:eastAsia="Calibri" w:hAnsi="Calibri" w:cs="Calibri"/>
          <w:sz w:val="24"/>
          <w:szCs w:val="24"/>
        </w:rPr>
        <w:t>W</w:t>
      </w:r>
      <w:r w:rsidR="0027793F" w:rsidRPr="7F38E0D6">
        <w:rPr>
          <w:rFonts w:ascii="Calibri" w:eastAsia="Calibri" w:hAnsi="Calibri" w:cs="Calibri"/>
          <w:sz w:val="24"/>
          <w:szCs w:val="24"/>
        </w:rPr>
        <w:t>orked with PSC Staff and identified ways to reach customer base in Q4.</w:t>
      </w:r>
    </w:p>
    <w:p w14:paraId="4F1BFD7E" w14:textId="6D80DAB4" w:rsidR="0027793F" w:rsidRPr="002B3AF1" w:rsidRDefault="00714AE6" w:rsidP="0027793F">
      <w:pPr>
        <w:numPr>
          <w:ilvl w:val="1"/>
          <w:numId w:val="2"/>
        </w:numPr>
        <w:spacing w:after="0" w:line="240" w:lineRule="auto"/>
        <w:rPr>
          <w:color w:val="000000" w:themeColor="text1"/>
          <w:sz w:val="24"/>
          <w:szCs w:val="24"/>
        </w:rPr>
      </w:pPr>
      <w:r>
        <w:rPr>
          <w:rFonts w:ascii="Calibri" w:eastAsia="Calibri" w:hAnsi="Calibri" w:cs="Calibri"/>
          <w:sz w:val="24"/>
          <w:szCs w:val="24"/>
        </w:rPr>
        <w:t>In</w:t>
      </w:r>
      <w:r w:rsidR="0027793F">
        <w:rPr>
          <w:rFonts w:ascii="Calibri" w:eastAsia="Calibri" w:hAnsi="Calibri" w:cs="Calibri"/>
          <w:sz w:val="24"/>
          <w:szCs w:val="24"/>
        </w:rPr>
        <w:t xml:space="preserve"> Q4, Georgia Power notified approximately 8,000 income-qualified customers statewide that they were selected to receive a free Energy Efficiency Kit.</w:t>
      </w:r>
    </w:p>
    <w:p w14:paraId="7FD8A030" w14:textId="77777777" w:rsidR="0027793F" w:rsidRPr="00580513" w:rsidRDefault="0027793F" w:rsidP="0027793F">
      <w:pPr>
        <w:numPr>
          <w:ilvl w:val="2"/>
          <w:numId w:val="2"/>
        </w:numPr>
        <w:spacing w:after="0" w:line="240" w:lineRule="auto"/>
        <w:rPr>
          <w:color w:val="000000" w:themeColor="text1"/>
          <w:sz w:val="24"/>
          <w:szCs w:val="24"/>
        </w:rPr>
      </w:pPr>
      <w:r>
        <w:rPr>
          <w:rFonts w:ascii="Calibri" w:eastAsia="Calibri" w:hAnsi="Calibri" w:cs="Calibri"/>
          <w:sz w:val="24"/>
          <w:szCs w:val="24"/>
        </w:rPr>
        <w:t>The kits included the following items:</w:t>
      </w:r>
    </w:p>
    <w:p w14:paraId="34865457" w14:textId="77777777" w:rsidR="0027793F" w:rsidRPr="00AA7C34" w:rsidRDefault="0027793F" w:rsidP="0027793F">
      <w:pPr>
        <w:numPr>
          <w:ilvl w:val="3"/>
          <w:numId w:val="2"/>
        </w:numPr>
        <w:spacing w:after="0" w:line="240" w:lineRule="auto"/>
        <w:rPr>
          <w:color w:val="000000" w:themeColor="text1"/>
          <w:sz w:val="24"/>
          <w:szCs w:val="24"/>
        </w:rPr>
      </w:pPr>
      <w:r>
        <w:rPr>
          <w:rFonts w:ascii="Calibri" w:eastAsia="Calibri" w:hAnsi="Calibri" w:cs="Calibri"/>
          <w:sz w:val="24"/>
          <w:szCs w:val="24"/>
        </w:rPr>
        <w:t>LED Light Bulbs</w:t>
      </w:r>
    </w:p>
    <w:p w14:paraId="205E4DAC" w14:textId="77777777" w:rsidR="0027793F" w:rsidRPr="006E2896" w:rsidRDefault="0027793F" w:rsidP="0027793F">
      <w:pPr>
        <w:numPr>
          <w:ilvl w:val="3"/>
          <w:numId w:val="2"/>
        </w:numPr>
        <w:spacing w:after="0" w:line="240" w:lineRule="auto"/>
        <w:rPr>
          <w:color w:val="000000" w:themeColor="text1"/>
          <w:sz w:val="24"/>
          <w:szCs w:val="24"/>
        </w:rPr>
      </w:pPr>
      <w:r>
        <w:rPr>
          <w:rFonts w:ascii="Calibri" w:eastAsia="Calibri" w:hAnsi="Calibri" w:cs="Calibri"/>
          <w:sz w:val="24"/>
          <w:szCs w:val="24"/>
        </w:rPr>
        <w:t>Single Pack Heat Shrink Wrap Window Kit</w:t>
      </w:r>
    </w:p>
    <w:p w14:paraId="5CD67E93" w14:textId="77777777" w:rsidR="0027793F" w:rsidRPr="00A0375C" w:rsidRDefault="0027793F" w:rsidP="0027793F">
      <w:pPr>
        <w:numPr>
          <w:ilvl w:val="3"/>
          <w:numId w:val="2"/>
        </w:numPr>
        <w:spacing w:after="0" w:line="240" w:lineRule="auto"/>
        <w:rPr>
          <w:color w:val="000000" w:themeColor="text1"/>
          <w:sz w:val="24"/>
          <w:szCs w:val="24"/>
        </w:rPr>
      </w:pPr>
      <w:r>
        <w:rPr>
          <w:rFonts w:ascii="Calibri" w:eastAsia="Calibri" w:hAnsi="Calibri" w:cs="Calibri"/>
          <w:sz w:val="24"/>
          <w:szCs w:val="24"/>
        </w:rPr>
        <w:t>Switch &amp; Outlet Gaskets</w:t>
      </w:r>
    </w:p>
    <w:p w14:paraId="2BC2A4FF" w14:textId="77777777" w:rsidR="0027793F" w:rsidRPr="00A0375C" w:rsidRDefault="0027793F" w:rsidP="0027793F">
      <w:pPr>
        <w:numPr>
          <w:ilvl w:val="3"/>
          <w:numId w:val="2"/>
        </w:numPr>
        <w:spacing w:after="0" w:line="240" w:lineRule="auto"/>
        <w:rPr>
          <w:color w:val="000000" w:themeColor="text1"/>
          <w:sz w:val="24"/>
          <w:szCs w:val="24"/>
        </w:rPr>
      </w:pPr>
      <w:r>
        <w:rPr>
          <w:rFonts w:ascii="Calibri" w:eastAsia="Calibri" w:hAnsi="Calibri" w:cs="Calibri"/>
          <w:sz w:val="24"/>
          <w:szCs w:val="24"/>
        </w:rPr>
        <w:t>Furnace Filter Whistle</w:t>
      </w:r>
    </w:p>
    <w:p w14:paraId="65408B13" w14:textId="77777777" w:rsidR="0027793F" w:rsidRPr="00DE2EF4" w:rsidRDefault="0027793F" w:rsidP="0027793F">
      <w:pPr>
        <w:numPr>
          <w:ilvl w:val="3"/>
          <w:numId w:val="2"/>
        </w:numPr>
        <w:spacing w:after="0" w:line="240" w:lineRule="auto"/>
        <w:rPr>
          <w:color w:val="000000" w:themeColor="text1"/>
          <w:sz w:val="24"/>
          <w:szCs w:val="24"/>
        </w:rPr>
      </w:pPr>
      <w:r>
        <w:rPr>
          <w:rFonts w:ascii="Calibri" w:eastAsia="Calibri" w:hAnsi="Calibri" w:cs="Calibri"/>
          <w:sz w:val="24"/>
          <w:szCs w:val="24"/>
        </w:rPr>
        <w:t>Caulk Gun &amp; 100% Silicone Clear Caulk</w:t>
      </w:r>
    </w:p>
    <w:p w14:paraId="782439D5" w14:textId="77777777" w:rsidR="0027793F" w:rsidRPr="00DE2EF4" w:rsidRDefault="0027793F" w:rsidP="0027793F">
      <w:pPr>
        <w:numPr>
          <w:ilvl w:val="3"/>
          <w:numId w:val="2"/>
        </w:numPr>
        <w:spacing w:after="0" w:line="240" w:lineRule="auto"/>
        <w:rPr>
          <w:color w:val="000000" w:themeColor="text1"/>
          <w:sz w:val="24"/>
          <w:szCs w:val="24"/>
        </w:rPr>
      </w:pPr>
      <w:r>
        <w:rPr>
          <w:rFonts w:ascii="Calibri" w:eastAsia="Calibri" w:hAnsi="Calibri" w:cs="Calibri"/>
          <w:sz w:val="24"/>
          <w:szCs w:val="24"/>
        </w:rPr>
        <w:t>V-Seal Weather Strip</w:t>
      </w:r>
    </w:p>
    <w:p w14:paraId="20CB89BB" w14:textId="5F2D0C74" w:rsidR="0027793F" w:rsidRPr="00DE2EF4" w:rsidRDefault="0027793F" w:rsidP="0027793F">
      <w:pPr>
        <w:numPr>
          <w:ilvl w:val="3"/>
          <w:numId w:val="2"/>
        </w:numPr>
        <w:spacing w:after="0" w:line="240" w:lineRule="auto"/>
        <w:rPr>
          <w:color w:val="000000" w:themeColor="text1"/>
          <w:sz w:val="24"/>
          <w:szCs w:val="24"/>
        </w:rPr>
      </w:pPr>
      <w:r>
        <w:rPr>
          <w:rFonts w:ascii="Calibri" w:eastAsia="Calibri" w:hAnsi="Calibri" w:cs="Calibri"/>
          <w:sz w:val="24"/>
          <w:szCs w:val="24"/>
        </w:rPr>
        <w:t xml:space="preserve">Foam Tape </w:t>
      </w:r>
      <w:r w:rsidR="00CE2C5F">
        <w:rPr>
          <w:rFonts w:ascii="Calibri" w:eastAsia="Calibri" w:hAnsi="Calibri" w:cs="Calibri"/>
          <w:sz w:val="24"/>
          <w:szCs w:val="24"/>
        </w:rPr>
        <w:t>for w</w:t>
      </w:r>
      <w:r>
        <w:rPr>
          <w:rFonts w:ascii="Calibri" w:eastAsia="Calibri" w:hAnsi="Calibri" w:cs="Calibri"/>
          <w:sz w:val="24"/>
          <w:szCs w:val="24"/>
        </w:rPr>
        <w:t>indows</w:t>
      </w:r>
    </w:p>
    <w:p w14:paraId="3B6F8D65" w14:textId="77777777" w:rsidR="0027793F" w:rsidRPr="00C50C5F" w:rsidRDefault="0027793F" w:rsidP="0027793F">
      <w:pPr>
        <w:numPr>
          <w:ilvl w:val="3"/>
          <w:numId w:val="2"/>
        </w:numPr>
        <w:spacing w:after="0" w:line="240" w:lineRule="auto"/>
        <w:rPr>
          <w:color w:val="000000" w:themeColor="text1"/>
          <w:sz w:val="24"/>
          <w:szCs w:val="24"/>
        </w:rPr>
      </w:pPr>
      <w:r>
        <w:rPr>
          <w:rFonts w:ascii="Calibri" w:eastAsia="Calibri" w:hAnsi="Calibri" w:cs="Calibri"/>
          <w:sz w:val="24"/>
          <w:szCs w:val="24"/>
        </w:rPr>
        <w:t xml:space="preserve">Pipe Insulation Wrap </w:t>
      </w:r>
    </w:p>
    <w:p w14:paraId="419039F4" w14:textId="5E43A278" w:rsidR="0027793F" w:rsidRPr="00162A55" w:rsidRDefault="00714AE6" w:rsidP="0027793F">
      <w:pPr>
        <w:numPr>
          <w:ilvl w:val="1"/>
          <w:numId w:val="2"/>
        </w:numPr>
        <w:tabs>
          <w:tab w:val="num" w:pos="720"/>
        </w:tabs>
        <w:spacing w:after="0" w:line="276" w:lineRule="auto"/>
        <w:contextualSpacing/>
        <w:rPr>
          <w:rFonts w:ascii="Calibri" w:eastAsia="Times New Roman" w:hAnsi="Calibri" w:cs="Calibri"/>
          <w:sz w:val="24"/>
          <w:szCs w:val="24"/>
        </w:rPr>
      </w:pPr>
      <w:r>
        <w:rPr>
          <w:rFonts w:ascii="Calibri" w:eastAsia="Times New Roman" w:hAnsi="Calibri" w:cs="Calibri"/>
          <w:sz w:val="24"/>
          <w:szCs w:val="24"/>
        </w:rPr>
        <w:t>In 2020</w:t>
      </w:r>
      <w:r w:rsidR="0027793F" w:rsidRPr="46142F53">
        <w:rPr>
          <w:rFonts w:ascii="Calibri" w:eastAsia="Times New Roman" w:hAnsi="Calibri" w:cs="Calibri"/>
          <w:sz w:val="24"/>
          <w:szCs w:val="24"/>
        </w:rPr>
        <w:t xml:space="preserve"> the program achieved </w:t>
      </w:r>
      <w:r w:rsidR="0027793F">
        <w:rPr>
          <w:rFonts w:ascii="Calibri" w:eastAsia="Times New Roman" w:hAnsi="Calibri" w:cs="Calibri"/>
          <w:sz w:val="24"/>
          <w:szCs w:val="24"/>
        </w:rPr>
        <w:t>4,787,807</w:t>
      </w:r>
      <w:r w:rsidR="0027793F" w:rsidRPr="46142F53">
        <w:rPr>
          <w:rFonts w:ascii="Calibri" w:eastAsia="Times New Roman" w:hAnsi="Calibri" w:cs="Calibri"/>
          <w:sz w:val="24"/>
          <w:szCs w:val="24"/>
        </w:rPr>
        <w:t> kWh savings through Q</w:t>
      </w:r>
      <w:r w:rsidR="0027793F">
        <w:rPr>
          <w:rFonts w:ascii="Calibri" w:eastAsia="Times New Roman" w:hAnsi="Calibri" w:cs="Calibri"/>
          <w:sz w:val="24"/>
          <w:szCs w:val="24"/>
        </w:rPr>
        <w:t>4</w:t>
      </w:r>
      <w:r w:rsidR="0027793F" w:rsidRPr="46142F53">
        <w:rPr>
          <w:rFonts w:ascii="Calibri" w:eastAsia="Times New Roman" w:hAnsi="Calibri" w:cs="Calibri"/>
          <w:sz w:val="24"/>
          <w:szCs w:val="24"/>
        </w:rPr>
        <w:t xml:space="preserve">, which represents </w:t>
      </w:r>
      <w:r w:rsidR="0027793F">
        <w:rPr>
          <w:rFonts w:ascii="Calibri" w:eastAsia="Times New Roman" w:hAnsi="Calibri" w:cs="Calibri"/>
          <w:sz w:val="24"/>
          <w:szCs w:val="24"/>
        </w:rPr>
        <w:t>71</w:t>
      </w:r>
      <w:r w:rsidR="0027793F" w:rsidRPr="46142F53">
        <w:rPr>
          <w:rFonts w:ascii="Calibri" w:eastAsia="Times New Roman" w:hAnsi="Calibri" w:cs="Calibri"/>
          <w:sz w:val="24"/>
          <w:szCs w:val="24"/>
        </w:rPr>
        <w:t>.2</w:t>
      </w:r>
      <w:r w:rsidR="00782EC8">
        <w:rPr>
          <w:rFonts w:ascii="Calibri" w:eastAsia="Times New Roman" w:hAnsi="Calibri" w:cs="Calibri"/>
          <w:sz w:val="24"/>
          <w:szCs w:val="24"/>
        </w:rPr>
        <w:t>2</w:t>
      </w:r>
      <w:r w:rsidR="0027793F" w:rsidRPr="46142F53">
        <w:rPr>
          <w:rFonts w:ascii="Calibri" w:eastAsia="Times New Roman" w:hAnsi="Calibri" w:cs="Calibri"/>
          <w:sz w:val="24"/>
          <w:szCs w:val="24"/>
        </w:rPr>
        <w:t>% of the kWh savings goal</w:t>
      </w:r>
      <w:r w:rsidR="0027793F">
        <w:rPr>
          <w:rFonts w:ascii="Calibri" w:eastAsia="Times New Roman" w:hAnsi="Calibri" w:cs="Calibri"/>
          <w:sz w:val="24"/>
          <w:szCs w:val="24"/>
        </w:rPr>
        <w:t xml:space="preserve"> </w:t>
      </w:r>
      <w:r w:rsidR="00CE2C5F">
        <w:rPr>
          <w:rFonts w:ascii="Calibri" w:eastAsia="Times New Roman" w:hAnsi="Calibri" w:cs="Calibri"/>
          <w:sz w:val="24"/>
          <w:szCs w:val="24"/>
        </w:rPr>
        <w:t xml:space="preserve">due to </w:t>
      </w:r>
      <w:r w:rsidR="0027793F">
        <w:rPr>
          <w:rFonts w:ascii="Calibri" w:eastAsia="Times New Roman" w:hAnsi="Calibri" w:cs="Calibri"/>
          <w:sz w:val="24"/>
          <w:szCs w:val="24"/>
        </w:rPr>
        <w:t>the Energy Efficiency Kit effort</w:t>
      </w:r>
      <w:r w:rsidR="0027793F" w:rsidRPr="46142F53">
        <w:rPr>
          <w:rFonts w:ascii="Calibri" w:eastAsia="Times New Roman" w:hAnsi="Calibri" w:cs="Calibri"/>
          <w:sz w:val="24"/>
          <w:szCs w:val="24"/>
        </w:rPr>
        <w:t>. </w:t>
      </w:r>
    </w:p>
    <w:p w14:paraId="495D5672" w14:textId="77777777" w:rsidR="002C4F31" w:rsidRPr="002C4F31" w:rsidRDefault="002C4F31" w:rsidP="002C4F31">
      <w:pPr>
        <w:spacing w:after="0" w:line="276" w:lineRule="auto"/>
        <w:contextualSpacing/>
        <w:rPr>
          <w:rFonts w:ascii="Calibri" w:eastAsia="Times New Roman" w:hAnsi="Calibri" w:cs="Calibri"/>
          <w:sz w:val="24"/>
          <w:szCs w:val="24"/>
        </w:rPr>
      </w:pPr>
    </w:p>
    <w:p w14:paraId="1CCA423D" w14:textId="77777777" w:rsidR="002C4F31" w:rsidRPr="002C4F31" w:rsidRDefault="002C4F31" w:rsidP="002C4F31">
      <w:pPr>
        <w:spacing w:after="0" w:line="276" w:lineRule="auto"/>
        <w:rPr>
          <w:rFonts w:ascii="Calibri" w:eastAsia="Times New Roman" w:hAnsi="Calibri" w:cs="Calibri"/>
          <w:b/>
          <w:sz w:val="24"/>
          <w:szCs w:val="24"/>
          <w:highlight w:val="yellow"/>
          <w:u w:val="single"/>
        </w:rPr>
      </w:pPr>
      <w:r w:rsidRPr="002C4F31">
        <w:rPr>
          <w:rFonts w:ascii="Calibri" w:eastAsia="Times New Roman" w:hAnsi="Calibri" w:cs="Calibri"/>
          <w:b/>
          <w:sz w:val="24"/>
          <w:szCs w:val="24"/>
          <w:u w:val="single"/>
        </w:rPr>
        <w:t>Commercial:</w:t>
      </w:r>
    </w:p>
    <w:p w14:paraId="165BDB14" w14:textId="77777777" w:rsidR="002C4F31" w:rsidRPr="002C4F31" w:rsidRDefault="002C4F31" w:rsidP="002C4F31">
      <w:pPr>
        <w:numPr>
          <w:ilvl w:val="0"/>
          <w:numId w:val="2"/>
        </w:numPr>
        <w:spacing w:after="0" w:line="240" w:lineRule="auto"/>
        <w:contextualSpacing/>
        <w:rPr>
          <w:rFonts w:ascii="Calibri" w:eastAsia="Times New Roman" w:hAnsi="Calibri" w:cs="Calibri"/>
          <w:color w:val="000000" w:themeColor="text1"/>
          <w:sz w:val="24"/>
          <w:szCs w:val="24"/>
        </w:rPr>
      </w:pPr>
      <w:r w:rsidRPr="002C4F31">
        <w:rPr>
          <w:rFonts w:ascii="Calibri" w:eastAsia="Times New Roman" w:hAnsi="Calibri" w:cs="Calibri"/>
          <w:color w:val="000000" w:themeColor="text1"/>
          <w:sz w:val="24"/>
          <w:szCs w:val="24"/>
        </w:rPr>
        <w:t>Custom &amp; Prescriptive</w:t>
      </w:r>
    </w:p>
    <w:p w14:paraId="5CF05B97" w14:textId="4C5C9E28" w:rsidR="002C4F31" w:rsidRDefault="00613F8F" w:rsidP="002C4F31">
      <w:pPr>
        <w:numPr>
          <w:ilvl w:val="1"/>
          <w:numId w:val="2"/>
        </w:numPr>
        <w:spacing w:after="0" w:line="240" w:lineRule="auto"/>
        <w:contextualSpacing/>
        <w:rPr>
          <w:rFonts w:ascii="Calibri" w:eastAsia="Times New Roman" w:hAnsi="Calibri" w:cs="Calibri"/>
          <w:color w:val="000000" w:themeColor="text1"/>
          <w:sz w:val="24"/>
          <w:szCs w:val="24"/>
        </w:rPr>
      </w:pPr>
      <w:r>
        <w:rPr>
          <w:rFonts w:ascii="Calibri" w:eastAsia="Times New Roman" w:hAnsi="Calibri" w:cs="Calibri"/>
          <w:color w:val="000000" w:themeColor="text1"/>
          <w:sz w:val="24"/>
          <w:szCs w:val="24"/>
        </w:rPr>
        <w:t>1,608</w:t>
      </w:r>
      <w:r w:rsidR="002C4F31" w:rsidRPr="002C4F31">
        <w:rPr>
          <w:rFonts w:ascii="Calibri" w:eastAsia="Times New Roman" w:hAnsi="Calibri" w:cs="Calibri"/>
          <w:color w:val="000000" w:themeColor="text1"/>
          <w:sz w:val="24"/>
          <w:szCs w:val="24"/>
        </w:rPr>
        <w:t xml:space="preserve"> applications </w:t>
      </w:r>
      <w:r w:rsidR="00F50337">
        <w:rPr>
          <w:rFonts w:ascii="Calibri" w:eastAsia="Times New Roman" w:hAnsi="Calibri" w:cs="Calibri"/>
          <w:color w:val="000000" w:themeColor="text1"/>
          <w:sz w:val="24"/>
          <w:szCs w:val="24"/>
        </w:rPr>
        <w:t>were</w:t>
      </w:r>
      <w:r w:rsidR="002C4F31" w:rsidRPr="002C4F31">
        <w:rPr>
          <w:rFonts w:ascii="Calibri" w:eastAsia="Times New Roman" w:hAnsi="Calibri" w:cs="Calibri"/>
          <w:color w:val="000000" w:themeColor="text1"/>
          <w:sz w:val="24"/>
          <w:szCs w:val="24"/>
        </w:rPr>
        <w:t xml:space="preserve"> approved </w:t>
      </w:r>
      <w:r>
        <w:rPr>
          <w:rFonts w:ascii="Calibri" w:eastAsia="Times New Roman" w:hAnsi="Calibri" w:cs="Calibri"/>
          <w:color w:val="000000" w:themeColor="text1"/>
          <w:sz w:val="24"/>
          <w:szCs w:val="24"/>
        </w:rPr>
        <w:t>in 2020</w:t>
      </w:r>
      <w:r w:rsidR="002C4F31" w:rsidRPr="002C4F31">
        <w:rPr>
          <w:rFonts w:ascii="Calibri" w:eastAsia="Times New Roman" w:hAnsi="Calibri" w:cs="Calibri"/>
          <w:color w:val="000000" w:themeColor="text1"/>
          <w:sz w:val="24"/>
          <w:szCs w:val="24"/>
        </w:rPr>
        <w:t xml:space="preserve">, for a total of </w:t>
      </w:r>
      <w:r w:rsidR="00B3393F">
        <w:rPr>
          <w:rFonts w:ascii="Calibri" w:eastAsia="Times New Roman" w:hAnsi="Calibri" w:cs="Calibri"/>
          <w:color w:val="000000" w:themeColor="text1"/>
          <w:sz w:val="24"/>
          <w:szCs w:val="24"/>
        </w:rPr>
        <w:t>$</w:t>
      </w:r>
      <w:r>
        <w:rPr>
          <w:rFonts w:ascii="Calibri" w:eastAsia="Times New Roman" w:hAnsi="Calibri" w:cs="Calibri"/>
          <w:color w:val="000000" w:themeColor="text1"/>
          <w:sz w:val="24"/>
          <w:szCs w:val="24"/>
        </w:rPr>
        <w:t>8,672,189</w:t>
      </w:r>
      <w:r w:rsidR="00B3393F" w:rsidRPr="00B3393F">
        <w:rPr>
          <w:rFonts w:ascii="Calibri" w:eastAsia="Times New Roman" w:hAnsi="Calibri" w:cs="Calibri"/>
          <w:color w:val="000000" w:themeColor="text1"/>
          <w:sz w:val="24"/>
          <w:szCs w:val="24"/>
        </w:rPr>
        <w:t xml:space="preserve"> </w:t>
      </w:r>
      <w:r w:rsidR="002C4F31" w:rsidRPr="002C4F31">
        <w:rPr>
          <w:rFonts w:ascii="Calibri" w:eastAsia="Times New Roman" w:hAnsi="Calibri" w:cs="Calibri"/>
          <w:color w:val="000000" w:themeColor="text1"/>
          <w:sz w:val="24"/>
          <w:szCs w:val="24"/>
        </w:rPr>
        <w:t>in rebate</w:t>
      </w:r>
      <w:r>
        <w:rPr>
          <w:rFonts w:ascii="Calibri" w:eastAsia="Times New Roman" w:hAnsi="Calibri" w:cs="Calibri"/>
          <w:color w:val="000000" w:themeColor="text1"/>
          <w:sz w:val="24"/>
          <w:szCs w:val="24"/>
        </w:rPr>
        <w:t>s</w:t>
      </w:r>
      <w:r w:rsidR="0080748D">
        <w:rPr>
          <w:rFonts w:ascii="Calibri" w:eastAsia="Times New Roman" w:hAnsi="Calibri" w:cs="Calibri"/>
          <w:color w:val="000000" w:themeColor="text1"/>
          <w:sz w:val="24"/>
          <w:szCs w:val="24"/>
        </w:rPr>
        <w:t xml:space="preserve"> </w:t>
      </w:r>
      <w:r>
        <w:rPr>
          <w:rFonts w:ascii="Calibri" w:eastAsia="Times New Roman" w:hAnsi="Calibri" w:cs="Calibri"/>
          <w:color w:val="000000" w:themeColor="text1"/>
          <w:sz w:val="24"/>
          <w:szCs w:val="24"/>
        </w:rPr>
        <w:t>paid</w:t>
      </w:r>
      <w:r w:rsidR="0080748D">
        <w:rPr>
          <w:rFonts w:ascii="Calibri" w:eastAsia="Times New Roman" w:hAnsi="Calibri" w:cs="Calibri"/>
          <w:color w:val="000000" w:themeColor="text1"/>
          <w:sz w:val="24"/>
          <w:szCs w:val="24"/>
        </w:rPr>
        <w:t>.</w:t>
      </w:r>
    </w:p>
    <w:p w14:paraId="30E27B5E" w14:textId="056E1ACD" w:rsidR="00B3393F" w:rsidRPr="00C96139" w:rsidRDefault="00B3393F" w:rsidP="00B3393F">
      <w:pPr>
        <w:numPr>
          <w:ilvl w:val="2"/>
          <w:numId w:val="2"/>
        </w:numPr>
        <w:spacing w:after="0" w:line="240" w:lineRule="auto"/>
        <w:contextualSpacing/>
        <w:rPr>
          <w:rFonts w:ascii="Calibri" w:eastAsia="Times New Roman" w:hAnsi="Calibri" w:cs="Calibri"/>
          <w:color w:val="000000" w:themeColor="text1"/>
          <w:sz w:val="24"/>
          <w:szCs w:val="24"/>
        </w:rPr>
      </w:pPr>
      <w:r w:rsidRPr="00C96139">
        <w:rPr>
          <w:rFonts w:ascii="Calibri" w:eastAsia="Times New Roman" w:hAnsi="Calibri" w:cs="Calibri"/>
          <w:color w:val="000000" w:themeColor="text1"/>
          <w:sz w:val="24"/>
          <w:szCs w:val="24"/>
        </w:rPr>
        <w:t xml:space="preserve">Custom: </w:t>
      </w:r>
      <w:r w:rsidR="00613F8F">
        <w:rPr>
          <w:rFonts w:ascii="Calibri" w:eastAsia="Times New Roman" w:hAnsi="Calibri" w:cs="Calibri"/>
          <w:color w:val="000000" w:themeColor="text1"/>
          <w:sz w:val="24"/>
          <w:szCs w:val="24"/>
        </w:rPr>
        <w:t>36,051,012</w:t>
      </w:r>
      <w:r w:rsidRPr="00C96139">
        <w:rPr>
          <w:rFonts w:ascii="Calibri" w:eastAsia="Times New Roman" w:hAnsi="Calibri" w:cs="Calibri"/>
          <w:color w:val="000000" w:themeColor="text1"/>
          <w:sz w:val="24"/>
          <w:szCs w:val="24"/>
        </w:rPr>
        <w:t xml:space="preserve"> kWh </w:t>
      </w:r>
      <w:r w:rsidR="000B0FA5">
        <w:rPr>
          <w:rFonts w:ascii="Calibri" w:eastAsia="Times New Roman" w:hAnsi="Calibri" w:cs="Calibri"/>
          <w:color w:val="000000" w:themeColor="text1"/>
          <w:sz w:val="24"/>
          <w:szCs w:val="24"/>
        </w:rPr>
        <w:t>savings</w:t>
      </w:r>
      <w:r w:rsidRPr="00C96139">
        <w:rPr>
          <w:rFonts w:ascii="Calibri" w:eastAsia="Times New Roman" w:hAnsi="Calibri" w:cs="Calibri"/>
          <w:color w:val="000000" w:themeColor="text1"/>
          <w:sz w:val="24"/>
          <w:szCs w:val="24"/>
        </w:rPr>
        <w:t xml:space="preserve"> and $</w:t>
      </w:r>
      <w:r w:rsidR="00613F8F">
        <w:rPr>
          <w:rFonts w:ascii="Calibri" w:eastAsia="Times New Roman" w:hAnsi="Calibri" w:cs="Calibri"/>
          <w:color w:val="000000" w:themeColor="text1"/>
          <w:sz w:val="24"/>
          <w:szCs w:val="24"/>
        </w:rPr>
        <w:t>2,548,565</w:t>
      </w:r>
      <w:r w:rsidRPr="00C96139">
        <w:rPr>
          <w:rFonts w:ascii="Calibri" w:eastAsia="Times New Roman" w:hAnsi="Calibri" w:cs="Calibri"/>
          <w:color w:val="000000" w:themeColor="text1"/>
          <w:sz w:val="24"/>
          <w:szCs w:val="24"/>
        </w:rPr>
        <w:t xml:space="preserve"> in rebates paid.</w:t>
      </w:r>
    </w:p>
    <w:p w14:paraId="7BA38B6E" w14:textId="052EB50D" w:rsidR="00B3393F" w:rsidRPr="00C96139" w:rsidRDefault="00B3393F" w:rsidP="00B3393F">
      <w:pPr>
        <w:numPr>
          <w:ilvl w:val="2"/>
          <w:numId w:val="2"/>
        </w:numPr>
        <w:spacing w:after="0" w:line="240" w:lineRule="auto"/>
        <w:contextualSpacing/>
        <w:rPr>
          <w:rFonts w:ascii="Calibri" w:eastAsia="Times New Roman" w:hAnsi="Calibri" w:cs="Calibri"/>
          <w:color w:val="000000" w:themeColor="text1"/>
          <w:sz w:val="24"/>
          <w:szCs w:val="24"/>
        </w:rPr>
      </w:pPr>
      <w:r w:rsidRPr="00C96139">
        <w:rPr>
          <w:rFonts w:ascii="Calibri" w:eastAsia="Times New Roman" w:hAnsi="Calibri" w:cs="Calibri"/>
          <w:color w:val="000000" w:themeColor="text1"/>
          <w:sz w:val="24"/>
          <w:szCs w:val="24"/>
        </w:rPr>
        <w:t xml:space="preserve">Prescriptive: </w:t>
      </w:r>
      <w:r w:rsidR="00613F8F">
        <w:rPr>
          <w:rFonts w:ascii="Calibri" w:eastAsia="Times New Roman" w:hAnsi="Calibri" w:cs="Calibri"/>
          <w:color w:val="000000" w:themeColor="text1"/>
          <w:sz w:val="24"/>
          <w:szCs w:val="24"/>
        </w:rPr>
        <w:t>112,563,648</w:t>
      </w:r>
      <w:r w:rsidR="00C96139" w:rsidRPr="00C96139">
        <w:rPr>
          <w:rFonts w:ascii="Calibri" w:eastAsia="Times New Roman" w:hAnsi="Calibri" w:cs="Calibri"/>
          <w:color w:val="000000" w:themeColor="text1"/>
          <w:sz w:val="24"/>
          <w:szCs w:val="24"/>
        </w:rPr>
        <w:t xml:space="preserve"> </w:t>
      </w:r>
      <w:r w:rsidRPr="00C96139">
        <w:rPr>
          <w:rFonts w:ascii="Calibri" w:eastAsia="Times New Roman" w:hAnsi="Calibri" w:cs="Calibri"/>
          <w:color w:val="000000" w:themeColor="text1"/>
          <w:sz w:val="24"/>
          <w:szCs w:val="24"/>
        </w:rPr>
        <w:t xml:space="preserve">kWh </w:t>
      </w:r>
      <w:r w:rsidR="000B0FA5">
        <w:rPr>
          <w:rFonts w:ascii="Calibri" w:eastAsia="Times New Roman" w:hAnsi="Calibri" w:cs="Calibri"/>
          <w:color w:val="000000" w:themeColor="text1"/>
          <w:sz w:val="24"/>
          <w:szCs w:val="24"/>
        </w:rPr>
        <w:t>savings</w:t>
      </w:r>
      <w:r w:rsidRPr="00C96139">
        <w:rPr>
          <w:rFonts w:ascii="Calibri" w:eastAsia="Times New Roman" w:hAnsi="Calibri" w:cs="Calibri"/>
          <w:color w:val="000000" w:themeColor="text1"/>
          <w:sz w:val="24"/>
          <w:szCs w:val="24"/>
        </w:rPr>
        <w:t xml:space="preserve"> and $</w:t>
      </w:r>
      <w:r w:rsidR="00613F8F">
        <w:rPr>
          <w:rFonts w:ascii="Calibri" w:eastAsia="Times New Roman" w:hAnsi="Calibri" w:cs="Calibri"/>
          <w:color w:val="000000" w:themeColor="text1"/>
          <w:sz w:val="24"/>
          <w:szCs w:val="24"/>
        </w:rPr>
        <w:t>6,123,</w:t>
      </w:r>
      <w:r w:rsidR="00EB441F">
        <w:rPr>
          <w:rFonts w:ascii="Calibri" w:eastAsia="Times New Roman" w:hAnsi="Calibri" w:cs="Calibri"/>
          <w:color w:val="000000" w:themeColor="text1"/>
          <w:sz w:val="24"/>
          <w:szCs w:val="24"/>
        </w:rPr>
        <w:t>624</w:t>
      </w:r>
      <w:r w:rsidRPr="00C96139">
        <w:rPr>
          <w:rFonts w:ascii="Calibri" w:eastAsia="Times New Roman" w:hAnsi="Calibri" w:cs="Calibri"/>
          <w:color w:val="000000" w:themeColor="text1"/>
          <w:sz w:val="24"/>
          <w:szCs w:val="24"/>
        </w:rPr>
        <w:t xml:space="preserve"> in rebates paid.</w:t>
      </w:r>
    </w:p>
    <w:p w14:paraId="3694F5F4" w14:textId="6C7F2746" w:rsidR="00B3393F" w:rsidRPr="007966B9" w:rsidRDefault="00B3393F" w:rsidP="00B3393F">
      <w:pPr>
        <w:numPr>
          <w:ilvl w:val="1"/>
          <w:numId w:val="2"/>
        </w:numPr>
        <w:spacing w:after="0" w:line="240" w:lineRule="auto"/>
        <w:contextualSpacing/>
        <w:rPr>
          <w:rFonts w:ascii="Calibri" w:eastAsia="Times New Roman" w:hAnsi="Calibri" w:cs="Calibri"/>
          <w:color w:val="000000" w:themeColor="text1"/>
          <w:sz w:val="24"/>
          <w:szCs w:val="24"/>
        </w:rPr>
      </w:pPr>
      <w:r w:rsidRPr="007966B9">
        <w:rPr>
          <w:rFonts w:ascii="Calibri" w:eastAsia="Times New Roman" w:hAnsi="Calibri" w:cs="Calibri"/>
          <w:color w:val="000000" w:themeColor="text1"/>
          <w:sz w:val="24"/>
          <w:szCs w:val="24"/>
        </w:rPr>
        <w:lastRenderedPageBreak/>
        <w:t>Trade Ally program registered 1</w:t>
      </w:r>
      <w:r w:rsidR="007966B9" w:rsidRPr="007966B9">
        <w:rPr>
          <w:rFonts w:ascii="Calibri" w:eastAsia="Times New Roman" w:hAnsi="Calibri" w:cs="Calibri"/>
          <w:color w:val="000000" w:themeColor="text1"/>
          <w:sz w:val="24"/>
          <w:szCs w:val="24"/>
        </w:rPr>
        <w:t>39</w:t>
      </w:r>
      <w:r w:rsidRPr="007966B9">
        <w:rPr>
          <w:rFonts w:ascii="Calibri" w:eastAsia="Times New Roman" w:hAnsi="Calibri" w:cs="Calibri"/>
          <w:color w:val="000000" w:themeColor="text1"/>
          <w:sz w:val="24"/>
          <w:szCs w:val="24"/>
        </w:rPr>
        <w:t xml:space="preserve"> trade allies </w:t>
      </w:r>
    </w:p>
    <w:p w14:paraId="16C8EC36" w14:textId="77777777" w:rsidR="007966B9" w:rsidRPr="00B3393F" w:rsidRDefault="007966B9" w:rsidP="007966B9">
      <w:pPr>
        <w:numPr>
          <w:ilvl w:val="1"/>
          <w:numId w:val="2"/>
        </w:numPr>
        <w:spacing w:after="0" w:line="240" w:lineRule="auto"/>
        <w:contextualSpacing/>
        <w:rPr>
          <w:rFonts w:ascii="Calibri" w:eastAsia="Times New Roman" w:hAnsi="Calibri" w:cs="Calibri"/>
          <w:color w:val="000000" w:themeColor="text1"/>
          <w:sz w:val="24"/>
          <w:szCs w:val="24"/>
        </w:rPr>
      </w:pPr>
      <w:r>
        <w:rPr>
          <w:rFonts w:ascii="Calibri" w:eastAsia="Times New Roman" w:hAnsi="Calibri" w:cs="Calibri"/>
          <w:color w:val="000000" w:themeColor="text1"/>
          <w:sz w:val="24"/>
          <w:szCs w:val="24"/>
        </w:rPr>
        <w:t>Q4 activities included:</w:t>
      </w:r>
    </w:p>
    <w:p w14:paraId="59A2E883" w14:textId="2966A0C2" w:rsidR="007966B9" w:rsidRPr="00B35D75" w:rsidRDefault="007966B9" w:rsidP="00810AFB">
      <w:pPr>
        <w:numPr>
          <w:ilvl w:val="2"/>
          <w:numId w:val="2"/>
        </w:numPr>
        <w:spacing w:after="0" w:line="240" w:lineRule="auto"/>
        <w:contextualSpacing/>
        <w:rPr>
          <w:rFonts w:ascii="Calibri" w:eastAsia="Times New Roman" w:hAnsi="Calibri" w:cs="Calibri"/>
          <w:color w:val="000000" w:themeColor="text1"/>
          <w:sz w:val="24"/>
          <w:szCs w:val="24"/>
        </w:rPr>
      </w:pPr>
      <w:r w:rsidRPr="00810AFB">
        <w:rPr>
          <w:rFonts w:ascii="Calibri" w:eastAsia="Times New Roman" w:hAnsi="Calibri" w:cs="Calibri"/>
          <w:color w:val="000000" w:themeColor="text1"/>
          <w:sz w:val="24"/>
          <w:szCs w:val="24"/>
        </w:rPr>
        <w:t>Implementer (CLEAResult) focus</w:t>
      </w:r>
      <w:r w:rsidR="00810AFB">
        <w:rPr>
          <w:rFonts w:ascii="Calibri" w:eastAsia="Times New Roman" w:hAnsi="Calibri" w:cs="Calibri"/>
          <w:color w:val="000000" w:themeColor="text1"/>
          <w:sz w:val="24"/>
          <w:szCs w:val="24"/>
        </w:rPr>
        <w:t>ed</w:t>
      </w:r>
      <w:r w:rsidRPr="00810AFB">
        <w:rPr>
          <w:rFonts w:ascii="Calibri" w:eastAsia="Times New Roman" w:hAnsi="Calibri" w:cs="Calibri"/>
          <w:color w:val="000000" w:themeColor="text1"/>
          <w:sz w:val="24"/>
          <w:szCs w:val="24"/>
        </w:rPr>
        <w:t xml:space="preserve"> on trade allies</w:t>
      </w:r>
      <w:r w:rsidR="00810AFB">
        <w:rPr>
          <w:rFonts w:ascii="Calibri" w:eastAsia="Times New Roman" w:hAnsi="Calibri" w:cs="Calibri"/>
          <w:color w:val="000000" w:themeColor="text1"/>
          <w:sz w:val="24"/>
          <w:szCs w:val="24"/>
        </w:rPr>
        <w:t xml:space="preserve">, </w:t>
      </w:r>
      <w:r w:rsidRPr="00810AFB">
        <w:rPr>
          <w:rFonts w:ascii="Calibri" w:eastAsia="Times New Roman" w:hAnsi="Calibri" w:cs="Calibri"/>
          <w:color w:val="000000" w:themeColor="text1"/>
          <w:sz w:val="24"/>
          <w:szCs w:val="24"/>
        </w:rPr>
        <w:t>application approvals</w:t>
      </w:r>
      <w:r w:rsidR="00810AFB" w:rsidRPr="00810AFB">
        <w:rPr>
          <w:rFonts w:ascii="Calibri" w:eastAsia="Times New Roman" w:hAnsi="Calibri" w:cs="Calibri"/>
          <w:color w:val="000000" w:themeColor="text1"/>
          <w:sz w:val="24"/>
          <w:szCs w:val="24"/>
        </w:rPr>
        <w:t xml:space="preserve"> and </w:t>
      </w:r>
      <w:r w:rsidR="00810AFB">
        <w:rPr>
          <w:rFonts w:ascii="Calibri" w:eastAsia="Times New Roman" w:hAnsi="Calibri" w:cs="Calibri"/>
          <w:color w:val="000000" w:themeColor="text1"/>
          <w:sz w:val="24"/>
          <w:szCs w:val="24"/>
        </w:rPr>
        <w:t>c</w:t>
      </w:r>
      <w:r w:rsidRPr="00810AFB">
        <w:rPr>
          <w:rFonts w:ascii="Calibri" w:eastAsia="Times New Roman" w:hAnsi="Calibri" w:cs="Calibri"/>
          <w:color w:val="000000" w:themeColor="text1"/>
          <w:sz w:val="24"/>
          <w:szCs w:val="24"/>
        </w:rPr>
        <w:t>ustomer-segmented emails</w:t>
      </w:r>
      <w:r w:rsidR="00345735" w:rsidRPr="00810AFB">
        <w:rPr>
          <w:rFonts w:ascii="Calibri" w:eastAsia="Times New Roman" w:hAnsi="Calibri" w:cs="Calibri"/>
          <w:color w:val="000000" w:themeColor="text1"/>
          <w:sz w:val="24"/>
          <w:szCs w:val="24"/>
        </w:rPr>
        <w:t>.</w:t>
      </w:r>
    </w:p>
    <w:p w14:paraId="59BEDEC7" w14:textId="77777777" w:rsidR="007966B9" w:rsidRPr="00B3393F" w:rsidRDefault="007966B9" w:rsidP="007966B9">
      <w:pPr>
        <w:numPr>
          <w:ilvl w:val="2"/>
          <w:numId w:val="2"/>
        </w:numPr>
        <w:spacing w:after="0" w:line="240" w:lineRule="auto"/>
        <w:contextualSpacing/>
        <w:rPr>
          <w:rFonts w:eastAsiaTheme="minorEastAsia"/>
          <w:color w:val="000000" w:themeColor="text1"/>
          <w:sz w:val="24"/>
          <w:szCs w:val="24"/>
        </w:rPr>
      </w:pPr>
      <w:r>
        <w:rPr>
          <w:rFonts w:ascii="Calibri" w:eastAsia="Times New Roman" w:hAnsi="Calibri" w:cs="Calibri"/>
          <w:color w:val="000000" w:themeColor="text1"/>
          <w:sz w:val="24"/>
          <w:szCs w:val="24"/>
        </w:rPr>
        <w:t>Program promotions</w:t>
      </w:r>
      <w:r w:rsidRPr="445DD43A">
        <w:rPr>
          <w:rFonts w:ascii="Calibri" w:eastAsia="Times New Roman" w:hAnsi="Calibri" w:cs="Calibri"/>
          <w:color w:val="000000" w:themeColor="text1"/>
          <w:sz w:val="24"/>
          <w:szCs w:val="24"/>
        </w:rPr>
        <w:t xml:space="preserve"> in </w:t>
      </w:r>
      <w:r>
        <w:rPr>
          <w:rFonts w:ascii="Calibri" w:eastAsia="Times New Roman" w:hAnsi="Calibri" w:cs="Calibri"/>
          <w:color w:val="000000" w:themeColor="text1"/>
          <w:sz w:val="24"/>
          <w:szCs w:val="24"/>
        </w:rPr>
        <w:t xml:space="preserve">the </w:t>
      </w:r>
      <w:r w:rsidRPr="445DD43A">
        <w:rPr>
          <w:rFonts w:ascii="Calibri" w:eastAsia="Times New Roman" w:hAnsi="Calibri" w:cs="Calibri"/>
          <w:color w:val="000000" w:themeColor="text1"/>
          <w:sz w:val="24"/>
          <w:szCs w:val="24"/>
        </w:rPr>
        <w:t xml:space="preserve">Conditioned Air Association of Georgia (CAAG) </w:t>
      </w:r>
      <w:r>
        <w:rPr>
          <w:rFonts w:ascii="Calibri" w:eastAsia="Times New Roman" w:hAnsi="Calibri" w:cs="Calibri"/>
          <w:color w:val="000000" w:themeColor="text1"/>
          <w:sz w:val="24"/>
          <w:szCs w:val="24"/>
        </w:rPr>
        <w:t xml:space="preserve">and the American Society of Heating, Refrigerating and Air-Conditioning Engineers (ASHRAE) </w:t>
      </w:r>
      <w:r w:rsidRPr="445DD43A">
        <w:rPr>
          <w:rFonts w:ascii="Calibri" w:eastAsia="Times New Roman" w:hAnsi="Calibri" w:cs="Calibri"/>
          <w:color w:val="000000" w:themeColor="text1"/>
          <w:sz w:val="24"/>
          <w:szCs w:val="24"/>
        </w:rPr>
        <w:t>newsletter</w:t>
      </w:r>
      <w:r>
        <w:rPr>
          <w:rFonts w:ascii="Calibri" w:eastAsia="Times New Roman" w:hAnsi="Calibri" w:cs="Calibri"/>
          <w:color w:val="000000" w:themeColor="text1"/>
          <w:sz w:val="24"/>
          <w:szCs w:val="24"/>
        </w:rPr>
        <w:t>s</w:t>
      </w:r>
      <w:r w:rsidRPr="445DD43A">
        <w:rPr>
          <w:rFonts w:ascii="Calibri" w:eastAsia="Times New Roman" w:hAnsi="Calibri" w:cs="Calibri"/>
          <w:color w:val="000000" w:themeColor="text1"/>
          <w:sz w:val="24"/>
          <w:szCs w:val="24"/>
        </w:rPr>
        <w:t>.</w:t>
      </w:r>
    </w:p>
    <w:p w14:paraId="082BE3A5" w14:textId="61320532" w:rsidR="007966B9" w:rsidRPr="007966B9" w:rsidRDefault="007966B9" w:rsidP="007966B9">
      <w:pPr>
        <w:numPr>
          <w:ilvl w:val="2"/>
          <w:numId w:val="2"/>
        </w:numPr>
        <w:spacing w:after="0" w:line="240" w:lineRule="auto"/>
        <w:contextualSpacing/>
        <w:rPr>
          <w:rFonts w:ascii="Calibri" w:eastAsia="Times New Roman" w:hAnsi="Calibri" w:cs="Calibri"/>
          <w:color w:val="000000" w:themeColor="text1"/>
          <w:sz w:val="24"/>
          <w:szCs w:val="24"/>
        </w:rPr>
      </w:pPr>
      <w:r>
        <w:rPr>
          <w:rFonts w:ascii="Calibri" w:eastAsia="Times New Roman" w:hAnsi="Calibri" w:cs="Calibri"/>
          <w:color w:val="000000" w:themeColor="text1"/>
          <w:sz w:val="24"/>
          <w:szCs w:val="24"/>
        </w:rPr>
        <w:t xml:space="preserve">“Do More Business </w:t>
      </w:r>
      <w:proofErr w:type="gramStart"/>
      <w:r>
        <w:rPr>
          <w:rFonts w:ascii="Calibri" w:eastAsia="Times New Roman" w:hAnsi="Calibri" w:cs="Calibri"/>
          <w:color w:val="000000" w:themeColor="text1"/>
          <w:sz w:val="24"/>
          <w:szCs w:val="24"/>
        </w:rPr>
        <w:t>With</w:t>
      </w:r>
      <w:proofErr w:type="gramEnd"/>
      <w:r>
        <w:rPr>
          <w:rFonts w:ascii="Calibri" w:eastAsia="Times New Roman" w:hAnsi="Calibri" w:cs="Calibri"/>
          <w:color w:val="000000" w:themeColor="text1"/>
          <w:sz w:val="24"/>
          <w:szCs w:val="24"/>
        </w:rPr>
        <w:t xml:space="preserve"> Less Energy” m</w:t>
      </w:r>
      <w:r w:rsidRPr="00B3393F">
        <w:rPr>
          <w:rFonts w:ascii="Calibri" w:eastAsia="Times New Roman" w:hAnsi="Calibri" w:cs="Calibri"/>
          <w:color w:val="000000" w:themeColor="text1"/>
          <w:sz w:val="24"/>
          <w:szCs w:val="24"/>
        </w:rPr>
        <w:t xml:space="preserve">arketing </w:t>
      </w:r>
      <w:r>
        <w:rPr>
          <w:rFonts w:ascii="Calibri" w:eastAsia="Times New Roman" w:hAnsi="Calibri" w:cs="Calibri"/>
          <w:color w:val="000000" w:themeColor="text1"/>
          <w:sz w:val="24"/>
          <w:szCs w:val="24"/>
        </w:rPr>
        <w:t>materials launched - includ</w:t>
      </w:r>
      <w:r w:rsidR="00810AFB">
        <w:rPr>
          <w:rFonts w:ascii="Calibri" w:eastAsia="Times New Roman" w:hAnsi="Calibri" w:cs="Calibri"/>
          <w:color w:val="000000" w:themeColor="text1"/>
          <w:sz w:val="24"/>
          <w:szCs w:val="24"/>
        </w:rPr>
        <w:t>ing</w:t>
      </w:r>
      <w:r w:rsidRPr="00B3393F">
        <w:rPr>
          <w:rFonts w:ascii="Calibri" w:eastAsia="Times New Roman" w:hAnsi="Calibri" w:cs="Calibri"/>
          <w:color w:val="000000" w:themeColor="text1"/>
          <w:sz w:val="24"/>
          <w:szCs w:val="24"/>
        </w:rPr>
        <w:t xml:space="preserve"> social</w:t>
      </w:r>
      <w:r>
        <w:rPr>
          <w:rFonts w:ascii="Calibri" w:eastAsia="Times New Roman" w:hAnsi="Calibri" w:cs="Calibri"/>
          <w:color w:val="000000" w:themeColor="text1"/>
          <w:sz w:val="24"/>
          <w:szCs w:val="24"/>
        </w:rPr>
        <w:t xml:space="preserve"> media</w:t>
      </w:r>
      <w:r w:rsidRPr="00B3393F">
        <w:rPr>
          <w:rFonts w:ascii="Calibri" w:eastAsia="Times New Roman" w:hAnsi="Calibri" w:cs="Calibri"/>
          <w:color w:val="000000" w:themeColor="text1"/>
          <w:sz w:val="24"/>
          <w:szCs w:val="24"/>
        </w:rPr>
        <w:t>, digital, radio, print, etc.</w:t>
      </w:r>
    </w:p>
    <w:p w14:paraId="33E5145D" w14:textId="56FE3D62" w:rsidR="00B3393F" w:rsidRPr="007966B9" w:rsidRDefault="00B3393F" w:rsidP="00B3393F">
      <w:pPr>
        <w:numPr>
          <w:ilvl w:val="1"/>
          <w:numId w:val="2"/>
        </w:numPr>
        <w:spacing w:after="0" w:line="240" w:lineRule="auto"/>
        <w:contextualSpacing/>
        <w:rPr>
          <w:rFonts w:ascii="Calibri" w:eastAsia="Times New Roman" w:hAnsi="Calibri" w:cs="Calibri"/>
          <w:color w:val="000000" w:themeColor="text1"/>
          <w:sz w:val="24"/>
          <w:szCs w:val="24"/>
        </w:rPr>
      </w:pPr>
      <w:r w:rsidRPr="007966B9">
        <w:rPr>
          <w:rFonts w:ascii="Calibri" w:eastAsia="Times New Roman" w:hAnsi="Calibri" w:cs="Calibri"/>
          <w:color w:val="000000" w:themeColor="text1"/>
          <w:sz w:val="24"/>
          <w:szCs w:val="24"/>
        </w:rPr>
        <w:t>Bonus lighting rebates</w:t>
      </w:r>
      <w:r w:rsidR="000B0FA5" w:rsidRPr="007966B9">
        <w:rPr>
          <w:rFonts w:ascii="Calibri" w:eastAsia="Times New Roman" w:hAnsi="Calibri" w:cs="Calibri"/>
          <w:color w:val="000000" w:themeColor="text1"/>
          <w:sz w:val="24"/>
          <w:szCs w:val="24"/>
        </w:rPr>
        <w:t>:</w:t>
      </w:r>
    </w:p>
    <w:p w14:paraId="764AF066" w14:textId="2124527F" w:rsidR="00B3393F" w:rsidRPr="007966B9" w:rsidRDefault="00B3393F" w:rsidP="00B3393F">
      <w:pPr>
        <w:numPr>
          <w:ilvl w:val="2"/>
          <w:numId w:val="2"/>
        </w:numPr>
        <w:spacing w:after="0" w:line="240" w:lineRule="auto"/>
        <w:contextualSpacing/>
        <w:rPr>
          <w:rFonts w:ascii="Calibri" w:eastAsia="Times New Roman" w:hAnsi="Calibri" w:cs="Calibri"/>
          <w:color w:val="000000" w:themeColor="text1"/>
          <w:sz w:val="24"/>
          <w:szCs w:val="24"/>
        </w:rPr>
      </w:pPr>
      <w:r w:rsidRPr="007966B9">
        <w:rPr>
          <w:rFonts w:ascii="Calibri" w:eastAsia="Times New Roman" w:hAnsi="Calibri" w:cs="Calibri"/>
          <w:color w:val="000000" w:themeColor="text1"/>
          <w:sz w:val="24"/>
          <w:szCs w:val="24"/>
        </w:rPr>
        <w:t>Tubular LEDs: $4.50 (up from $3)</w:t>
      </w:r>
      <w:r w:rsidR="00D359B8" w:rsidRPr="007966B9">
        <w:rPr>
          <w:rFonts w:ascii="Calibri" w:eastAsia="Times New Roman" w:hAnsi="Calibri" w:cs="Calibri"/>
          <w:color w:val="000000" w:themeColor="text1"/>
          <w:sz w:val="24"/>
          <w:szCs w:val="24"/>
        </w:rPr>
        <w:t>.</w:t>
      </w:r>
    </w:p>
    <w:p w14:paraId="33F5773C" w14:textId="4B929F46" w:rsidR="00B3393F" w:rsidRPr="007966B9" w:rsidRDefault="00B3393F" w:rsidP="00B3393F">
      <w:pPr>
        <w:numPr>
          <w:ilvl w:val="2"/>
          <w:numId w:val="2"/>
        </w:numPr>
        <w:spacing w:after="0" w:line="240" w:lineRule="auto"/>
        <w:contextualSpacing/>
        <w:rPr>
          <w:rFonts w:ascii="Calibri" w:eastAsia="Times New Roman" w:hAnsi="Calibri" w:cs="Calibri"/>
          <w:color w:val="000000" w:themeColor="text1"/>
          <w:sz w:val="24"/>
          <w:szCs w:val="24"/>
        </w:rPr>
      </w:pPr>
      <w:r w:rsidRPr="007966B9">
        <w:rPr>
          <w:rFonts w:ascii="Calibri" w:eastAsia="Times New Roman" w:hAnsi="Calibri" w:cs="Calibri"/>
          <w:color w:val="000000" w:themeColor="text1"/>
          <w:sz w:val="24"/>
          <w:szCs w:val="24"/>
        </w:rPr>
        <w:t>LED Cans, Tracks and Pendants: $15 (up from $10)</w:t>
      </w:r>
      <w:r w:rsidR="00D359B8" w:rsidRPr="007966B9">
        <w:rPr>
          <w:rFonts w:ascii="Calibri" w:eastAsia="Times New Roman" w:hAnsi="Calibri" w:cs="Calibri"/>
          <w:color w:val="000000" w:themeColor="text1"/>
          <w:sz w:val="24"/>
          <w:szCs w:val="24"/>
        </w:rPr>
        <w:t>.</w:t>
      </w:r>
    </w:p>
    <w:p w14:paraId="6AEC0E23" w14:textId="52F51B3E" w:rsidR="00B3393F" w:rsidRPr="007966B9" w:rsidRDefault="00B3393F" w:rsidP="00B3393F">
      <w:pPr>
        <w:numPr>
          <w:ilvl w:val="2"/>
          <w:numId w:val="2"/>
        </w:numPr>
        <w:spacing w:after="0" w:line="240" w:lineRule="auto"/>
        <w:contextualSpacing/>
        <w:rPr>
          <w:rFonts w:ascii="Calibri" w:eastAsia="Times New Roman" w:hAnsi="Calibri" w:cs="Calibri"/>
          <w:color w:val="000000" w:themeColor="text1"/>
          <w:sz w:val="24"/>
          <w:szCs w:val="24"/>
        </w:rPr>
      </w:pPr>
      <w:r w:rsidRPr="007966B9">
        <w:rPr>
          <w:rFonts w:ascii="Calibri" w:eastAsia="Times New Roman" w:hAnsi="Calibri" w:cs="Calibri"/>
          <w:color w:val="000000" w:themeColor="text1"/>
          <w:sz w:val="24"/>
          <w:szCs w:val="24"/>
        </w:rPr>
        <w:t>LED Troffer Fixtures and Retrofit Kits: $30 (up from $25)</w:t>
      </w:r>
      <w:r w:rsidR="00D359B8" w:rsidRPr="007966B9">
        <w:rPr>
          <w:rFonts w:ascii="Calibri" w:eastAsia="Times New Roman" w:hAnsi="Calibri" w:cs="Calibri"/>
          <w:color w:val="000000" w:themeColor="text1"/>
          <w:sz w:val="24"/>
          <w:szCs w:val="24"/>
        </w:rPr>
        <w:t>.</w:t>
      </w:r>
      <w:r w:rsidRPr="007966B9">
        <w:rPr>
          <w:rFonts w:ascii="Calibri" w:eastAsia="Times New Roman" w:hAnsi="Calibri" w:cs="Calibri"/>
          <w:color w:val="000000" w:themeColor="text1"/>
          <w:sz w:val="24"/>
          <w:szCs w:val="24"/>
        </w:rPr>
        <w:t xml:space="preserve">  </w:t>
      </w:r>
    </w:p>
    <w:p w14:paraId="761E49AE" w14:textId="77777777" w:rsidR="000E160D" w:rsidRDefault="000E160D" w:rsidP="000E160D">
      <w:pPr>
        <w:spacing w:after="0" w:line="240" w:lineRule="auto"/>
        <w:ind w:left="720"/>
        <w:contextualSpacing/>
        <w:jc w:val="both"/>
        <w:rPr>
          <w:rFonts w:ascii="Calibri" w:eastAsia="Times New Roman" w:hAnsi="Calibri" w:cs="Calibri"/>
          <w:color w:val="000000" w:themeColor="text1"/>
          <w:sz w:val="24"/>
          <w:szCs w:val="24"/>
        </w:rPr>
      </w:pPr>
    </w:p>
    <w:p w14:paraId="4C93E961" w14:textId="016761C4" w:rsidR="002C4F31" w:rsidRPr="002C4F31" w:rsidRDefault="002C4F31" w:rsidP="002C4F31">
      <w:pPr>
        <w:numPr>
          <w:ilvl w:val="0"/>
          <w:numId w:val="1"/>
        </w:numPr>
        <w:spacing w:after="0" w:line="240" w:lineRule="auto"/>
        <w:contextualSpacing/>
        <w:jc w:val="both"/>
        <w:rPr>
          <w:rFonts w:ascii="Calibri" w:eastAsia="Times New Roman" w:hAnsi="Calibri" w:cs="Calibri"/>
          <w:color w:val="000000" w:themeColor="text1"/>
          <w:sz w:val="24"/>
          <w:szCs w:val="24"/>
        </w:rPr>
      </w:pPr>
      <w:r w:rsidRPr="002C4F31">
        <w:rPr>
          <w:rFonts w:ascii="Calibri" w:eastAsia="Times New Roman" w:hAnsi="Calibri" w:cs="Calibri"/>
          <w:color w:val="000000" w:themeColor="text1"/>
          <w:sz w:val="24"/>
          <w:szCs w:val="24"/>
        </w:rPr>
        <w:t>Small Commercial Direct Install</w:t>
      </w:r>
    </w:p>
    <w:p w14:paraId="616D17BC" w14:textId="424A45D1" w:rsidR="002C4F31" w:rsidRDefault="002C4F31" w:rsidP="002C4F31">
      <w:pPr>
        <w:numPr>
          <w:ilvl w:val="1"/>
          <w:numId w:val="1"/>
        </w:numPr>
        <w:spacing w:after="0" w:line="240" w:lineRule="auto"/>
        <w:contextualSpacing/>
        <w:jc w:val="both"/>
        <w:rPr>
          <w:rFonts w:ascii="Calibri" w:eastAsia="Times New Roman" w:hAnsi="Calibri" w:cs="Calibri"/>
          <w:color w:val="000000" w:themeColor="text1"/>
          <w:sz w:val="24"/>
          <w:szCs w:val="24"/>
        </w:rPr>
      </w:pPr>
      <w:bookmarkStart w:id="10" w:name="_Hlk15884261"/>
      <w:r w:rsidRPr="002C4F31">
        <w:rPr>
          <w:rFonts w:ascii="Calibri" w:eastAsia="Times New Roman" w:hAnsi="Calibri" w:cs="Calibri"/>
          <w:color w:val="000000" w:themeColor="text1"/>
          <w:sz w:val="24"/>
          <w:szCs w:val="24"/>
        </w:rPr>
        <w:t xml:space="preserve">This program remains paused due to the COVID-19 pandemic. </w:t>
      </w:r>
    </w:p>
    <w:p w14:paraId="09A1987B" w14:textId="52E5E5B1" w:rsidR="00B3393F" w:rsidRDefault="00B3393F" w:rsidP="002C4F31">
      <w:pPr>
        <w:numPr>
          <w:ilvl w:val="1"/>
          <w:numId w:val="1"/>
        </w:numPr>
        <w:spacing w:after="0" w:line="240" w:lineRule="auto"/>
        <w:contextualSpacing/>
        <w:jc w:val="both"/>
        <w:rPr>
          <w:rFonts w:ascii="Calibri" w:eastAsia="Times New Roman" w:hAnsi="Calibri" w:cs="Calibri"/>
          <w:color w:val="000000" w:themeColor="text1"/>
          <w:sz w:val="24"/>
          <w:szCs w:val="24"/>
        </w:rPr>
      </w:pPr>
      <w:r>
        <w:rPr>
          <w:rFonts w:ascii="Calibri" w:eastAsia="Times New Roman" w:hAnsi="Calibri" w:cs="Calibri"/>
          <w:color w:val="000000" w:themeColor="text1"/>
          <w:sz w:val="24"/>
          <w:szCs w:val="24"/>
        </w:rPr>
        <w:t xml:space="preserve">Program website and 1-800 number are still open for customer inquiries. </w:t>
      </w:r>
    </w:p>
    <w:p w14:paraId="45CF1BBA" w14:textId="730BEE43" w:rsidR="002C4F31" w:rsidRPr="002C4F31" w:rsidRDefault="002C4F31" w:rsidP="002C4F31">
      <w:pPr>
        <w:numPr>
          <w:ilvl w:val="1"/>
          <w:numId w:val="1"/>
        </w:numPr>
        <w:spacing w:after="0" w:line="240" w:lineRule="auto"/>
        <w:contextualSpacing/>
        <w:jc w:val="both"/>
        <w:rPr>
          <w:rFonts w:ascii="Calibri" w:eastAsia="Times New Roman" w:hAnsi="Calibri" w:cs="Calibri"/>
          <w:color w:val="000000" w:themeColor="text1"/>
          <w:sz w:val="24"/>
          <w:szCs w:val="24"/>
        </w:rPr>
      </w:pPr>
      <w:r w:rsidRPr="002C4F31">
        <w:rPr>
          <w:rFonts w:ascii="Calibri" w:eastAsia="Times New Roman" w:hAnsi="Calibri" w:cs="Calibri"/>
          <w:color w:val="000000" w:themeColor="text1"/>
          <w:sz w:val="24"/>
          <w:szCs w:val="24"/>
        </w:rPr>
        <w:t xml:space="preserve">Approximately </w:t>
      </w:r>
      <w:r w:rsidR="00B3393F">
        <w:rPr>
          <w:rFonts w:ascii="Calibri" w:eastAsia="Times New Roman" w:hAnsi="Calibri" w:cs="Calibri"/>
          <w:color w:val="000000" w:themeColor="text1"/>
          <w:sz w:val="24"/>
          <w:szCs w:val="24"/>
        </w:rPr>
        <w:t>1</w:t>
      </w:r>
      <w:r w:rsidR="00345735">
        <w:rPr>
          <w:rFonts w:ascii="Calibri" w:eastAsia="Times New Roman" w:hAnsi="Calibri" w:cs="Calibri"/>
          <w:color w:val="000000" w:themeColor="text1"/>
          <w:sz w:val="24"/>
          <w:szCs w:val="24"/>
        </w:rPr>
        <w:t>2</w:t>
      </w:r>
      <w:r w:rsidRPr="002C4F31">
        <w:rPr>
          <w:rFonts w:ascii="Calibri" w:eastAsia="Times New Roman" w:hAnsi="Calibri" w:cs="Calibri"/>
          <w:color w:val="000000" w:themeColor="text1"/>
          <w:sz w:val="24"/>
          <w:szCs w:val="24"/>
        </w:rPr>
        <w:t>0 customers remain on a waitlist for assessments and potential energy efficiency projects</w:t>
      </w:r>
      <w:r w:rsidR="00B3393F">
        <w:rPr>
          <w:rFonts w:ascii="Calibri" w:eastAsia="Times New Roman" w:hAnsi="Calibri" w:cs="Calibri"/>
          <w:color w:val="000000" w:themeColor="text1"/>
          <w:sz w:val="24"/>
          <w:szCs w:val="24"/>
        </w:rPr>
        <w:t xml:space="preserve"> once the program is re-activated</w:t>
      </w:r>
      <w:r w:rsidRPr="002C4F31">
        <w:rPr>
          <w:rFonts w:ascii="Calibri" w:eastAsia="Times New Roman" w:hAnsi="Calibri" w:cs="Calibri"/>
          <w:color w:val="000000" w:themeColor="text1"/>
          <w:sz w:val="24"/>
          <w:szCs w:val="24"/>
        </w:rPr>
        <w:t xml:space="preserve">. </w:t>
      </w:r>
    </w:p>
    <w:p w14:paraId="574586C7" w14:textId="77777777" w:rsidR="000E160D" w:rsidRDefault="000E160D" w:rsidP="00102E0C">
      <w:pPr>
        <w:spacing w:after="0" w:line="240" w:lineRule="auto"/>
        <w:ind w:left="720"/>
        <w:contextualSpacing/>
        <w:jc w:val="both"/>
        <w:rPr>
          <w:rFonts w:ascii="Calibri" w:eastAsia="Times New Roman" w:hAnsi="Calibri" w:cs="Calibri"/>
          <w:color w:val="000000" w:themeColor="text1"/>
          <w:sz w:val="24"/>
          <w:szCs w:val="24"/>
        </w:rPr>
      </w:pPr>
    </w:p>
    <w:p w14:paraId="35677E5F" w14:textId="02FDA23C" w:rsidR="002C4F31" w:rsidRPr="002C4F31" w:rsidRDefault="002C4F31" w:rsidP="002C4F31">
      <w:pPr>
        <w:numPr>
          <w:ilvl w:val="0"/>
          <w:numId w:val="1"/>
        </w:numPr>
        <w:spacing w:after="0" w:line="240" w:lineRule="auto"/>
        <w:contextualSpacing/>
        <w:jc w:val="both"/>
        <w:rPr>
          <w:rFonts w:ascii="Calibri" w:eastAsia="Times New Roman" w:hAnsi="Calibri" w:cs="Calibri"/>
          <w:color w:val="000000" w:themeColor="text1"/>
          <w:sz w:val="24"/>
          <w:szCs w:val="24"/>
        </w:rPr>
      </w:pPr>
      <w:r w:rsidRPr="002C4F31">
        <w:rPr>
          <w:rFonts w:ascii="Calibri" w:eastAsia="Times New Roman" w:hAnsi="Calibri" w:cs="Calibri"/>
          <w:color w:val="000000" w:themeColor="text1"/>
          <w:sz w:val="24"/>
          <w:szCs w:val="24"/>
        </w:rPr>
        <w:t xml:space="preserve">Commercial Midstream </w:t>
      </w:r>
    </w:p>
    <w:bookmarkEnd w:id="10"/>
    <w:p w14:paraId="5E67C725" w14:textId="18E9472F" w:rsidR="002C4F31" w:rsidRPr="002C4F31" w:rsidRDefault="00EB441F" w:rsidP="002C4F31">
      <w:pPr>
        <w:numPr>
          <w:ilvl w:val="1"/>
          <w:numId w:val="1"/>
        </w:numPr>
        <w:spacing w:after="0" w:line="276" w:lineRule="auto"/>
        <w:contextualSpacing/>
        <w:rPr>
          <w:rFonts w:ascii="Calibri" w:eastAsia="Times New Roman" w:hAnsi="Calibri" w:cs="Calibri"/>
          <w:sz w:val="24"/>
          <w:szCs w:val="24"/>
        </w:rPr>
      </w:pPr>
      <w:r>
        <w:rPr>
          <w:rFonts w:ascii="Calibri" w:eastAsia="Times New Roman" w:hAnsi="Calibri" w:cs="Calibri"/>
          <w:sz w:val="24"/>
          <w:szCs w:val="24"/>
        </w:rPr>
        <w:t>In 2020 the</w:t>
      </w:r>
      <w:r w:rsidR="002C4F31" w:rsidRPr="00C96139">
        <w:rPr>
          <w:rFonts w:ascii="Calibri" w:eastAsia="Times New Roman" w:hAnsi="Calibri" w:cs="Calibri"/>
          <w:sz w:val="24"/>
          <w:szCs w:val="24"/>
        </w:rPr>
        <w:t xml:space="preserve"> program achieved </w:t>
      </w:r>
      <w:r>
        <w:rPr>
          <w:rFonts w:ascii="Calibri" w:eastAsia="Times New Roman" w:hAnsi="Calibri" w:cs="Calibri"/>
          <w:sz w:val="24"/>
          <w:szCs w:val="24"/>
        </w:rPr>
        <w:t>2,706,448</w:t>
      </w:r>
      <w:r w:rsidR="002C4F31" w:rsidRPr="00C96139">
        <w:rPr>
          <w:rFonts w:ascii="Calibri" w:eastAsia="Times New Roman" w:hAnsi="Calibri" w:cs="Calibri"/>
          <w:sz w:val="24"/>
          <w:szCs w:val="24"/>
        </w:rPr>
        <w:t xml:space="preserve"> kWh savings, and $</w:t>
      </w:r>
      <w:r>
        <w:rPr>
          <w:rFonts w:ascii="Calibri" w:eastAsia="Times New Roman" w:hAnsi="Calibri" w:cs="Calibri"/>
          <w:sz w:val="24"/>
          <w:szCs w:val="24"/>
        </w:rPr>
        <w:t>336,112</w:t>
      </w:r>
      <w:r w:rsidR="002C4F31" w:rsidRPr="00C96139">
        <w:rPr>
          <w:rFonts w:ascii="Calibri" w:eastAsia="Times New Roman" w:hAnsi="Calibri" w:cs="Calibri"/>
          <w:sz w:val="24"/>
          <w:szCs w:val="24"/>
        </w:rPr>
        <w:t xml:space="preserve"> in rebates</w:t>
      </w:r>
      <w:r w:rsidR="00016745">
        <w:rPr>
          <w:rFonts w:ascii="Calibri" w:eastAsia="Times New Roman" w:hAnsi="Calibri" w:cs="Calibri"/>
          <w:sz w:val="24"/>
          <w:szCs w:val="24"/>
        </w:rPr>
        <w:t xml:space="preserve"> </w:t>
      </w:r>
      <w:r w:rsidR="002C4F31" w:rsidRPr="00C96139">
        <w:rPr>
          <w:rFonts w:ascii="Calibri" w:eastAsia="Times New Roman" w:hAnsi="Calibri" w:cs="Calibri"/>
          <w:sz w:val="24"/>
          <w:szCs w:val="24"/>
        </w:rPr>
        <w:t>paid</w:t>
      </w:r>
      <w:r w:rsidR="00CC28B9">
        <w:rPr>
          <w:rFonts w:ascii="Calibri" w:eastAsia="Times New Roman" w:hAnsi="Calibri" w:cs="Calibri"/>
          <w:sz w:val="24"/>
          <w:szCs w:val="24"/>
        </w:rPr>
        <w:t>.</w:t>
      </w:r>
      <w:r w:rsidR="002C4F31" w:rsidRPr="00C96139">
        <w:rPr>
          <w:rFonts w:ascii="Calibri" w:eastAsia="Times New Roman" w:hAnsi="Calibri" w:cs="Calibri"/>
          <w:sz w:val="24"/>
          <w:szCs w:val="24"/>
        </w:rPr>
        <w:t xml:space="preserve"> </w:t>
      </w:r>
    </w:p>
    <w:p w14:paraId="2C6784E5" w14:textId="6B3D3757" w:rsidR="00B3393F" w:rsidRPr="00945AEA" w:rsidRDefault="00B3393F" w:rsidP="002C4F31">
      <w:pPr>
        <w:numPr>
          <w:ilvl w:val="1"/>
          <w:numId w:val="1"/>
        </w:numPr>
        <w:spacing w:after="0" w:line="276" w:lineRule="auto"/>
        <w:contextualSpacing/>
        <w:rPr>
          <w:rFonts w:ascii="Calibri" w:eastAsia="Times New Roman" w:hAnsi="Calibri" w:cs="Calibri"/>
          <w:sz w:val="24"/>
          <w:szCs w:val="24"/>
        </w:rPr>
      </w:pPr>
      <w:r w:rsidRPr="00945AEA">
        <w:rPr>
          <w:rFonts w:ascii="Calibri" w:eastAsia="Times New Roman" w:hAnsi="Calibri" w:cs="Calibri"/>
          <w:sz w:val="24"/>
          <w:szCs w:val="24"/>
        </w:rPr>
        <w:t xml:space="preserve">Approved </w:t>
      </w:r>
      <w:r w:rsidR="00945AEA" w:rsidRPr="00945AEA">
        <w:rPr>
          <w:rFonts w:ascii="Calibri" w:eastAsia="Times New Roman" w:hAnsi="Calibri" w:cs="Calibri"/>
          <w:sz w:val="24"/>
          <w:szCs w:val="24"/>
        </w:rPr>
        <w:t>1,151</w:t>
      </w:r>
      <w:r w:rsidRPr="00945AEA">
        <w:rPr>
          <w:rFonts w:ascii="Calibri" w:eastAsia="Times New Roman" w:hAnsi="Calibri" w:cs="Calibri"/>
          <w:sz w:val="24"/>
          <w:szCs w:val="24"/>
        </w:rPr>
        <w:t xml:space="preserve"> pieces of equipment in the program </w:t>
      </w:r>
      <w:r w:rsidR="00945AEA" w:rsidRPr="00945AEA">
        <w:rPr>
          <w:rFonts w:ascii="Calibri" w:eastAsia="Times New Roman" w:hAnsi="Calibri" w:cs="Calibri"/>
          <w:sz w:val="24"/>
          <w:szCs w:val="24"/>
        </w:rPr>
        <w:t>in 2020</w:t>
      </w:r>
      <w:r w:rsidRPr="00945AEA">
        <w:rPr>
          <w:rFonts w:ascii="Calibri" w:eastAsia="Times New Roman" w:hAnsi="Calibri" w:cs="Calibri"/>
          <w:sz w:val="24"/>
          <w:szCs w:val="24"/>
        </w:rPr>
        <w:t>.</w:t>
      </w:r>
    </w:p>
    <w:p w14:paraId="0537A99A" w14:textId="09B196BD" w:rsidR="00B3393F" w:rsidRPr="00945AEA" w:rsidRDefault="00B3393F" w:rsidP="00B3393F">
      <w:pPr>
        <w:numPr>
          <w:ilvl w:val="2"/>
          <w:numId w:val="1"/>
        </w:numPr>
        <w:spacing w:after="0" w:line="276" w:lineRule="auto"/>
        <w:contextualSpacing/>
        <w:rPr>
          <w:rFonts w:ascii="Calibri" w:eastAsia="Times New Roman" w:hAnsi="Calibri" w:cs="Calibri"/>
          <w:sz w:val="24"/>
          <w:szCs w:val="24"/>
        </w:rPr>
      </w:pPr>
      <w:r w:rsidRPr="00945AEA">
        <w:rPr>
          <w:rFonts w:ascii="Calibri" w:eastAsia="Times New Roman" w:hAnsi="Calibri" w:cs="Calibri"/>
          <w:sz w:val="24"/>
          <w:szCs w:val="24"/>
        </w:rPr>
        <w:t xml:space="preserve">HVAC: </w:t>
      </w:r>
      <w:r w:rsidR="00945AEA" w:rsidRPr="00945AEA">
        <w:rPr>
          <w:rFonts w:ascii="Calibri" w:eastAsia="Times New Roman" w:hAnsi="Calibri" w:cs="Calibri"/>
          <w:sz w:val="24"/>
          <w:szCs w:val="24"/>
        </w:rPr>
        <w:t>831</w:t>
      </w:r>
      <w:r w:rsidRPr="00945AEA">
        <w:rPr>
          <w:rFonts w:ascii="Calibri" w:eastAsia="Times New Roman" w:hAnsi="Calibri" w:cs="Calibri"/>
          <w:sz w:val="24"/>
          <w:szCs w:val="24"/>
        </w:rPr>
        <w:t xml:space="preserve"> units</w:t>
      </w:r>
      <w:r w:rsidR="00B47310" w:rsidRPr="00945AEA">
        <w:rPr>
          <w:rFonts w:ascii="Calibri" w:eastAsia="Times New Roman" w:hAnsi="Calibri" w:cs="Calibri"/>
          <w:sz w:val="24"/>
          <w:szCs w:val="24"/>
        </w:rPr>
        <w:t>.</w:t>
      </w:r>
    </w:p>
    <w:p w14:paraId="3713CD8A" w14:textId="4CADCFC1" w:rsidR="00B3393F" w:rsidRPr="00945AEA" w:rsidRDefault="00B3393F" w:rsidP="00B3393F">
      <w:pPr>
        <w:numPr>
          <w:ilvl w:val="2"/>
          <w:numId w:val="1"/>
        </w:numPr>
        <w:spacing w:after="0" w:line="276" w:lineRule="auto"/>
        <w:contextualSpacing/>
        <w:rPr>
          <w:rFonts w:ascii="Calibri" w:eastAsia="Times New Roman" w:hAnsi="Calibri" w:cs="Calibri"/>
          <w:sz w:val="24"/>
          <w:szCs w:val="24"/>
        </w:rPr>
      </w:pPr>
      <w:r w:rsidRPr="00945AEA">
        <w:rPr>
          <w:rFonts w:ascii="Calibri" w:eastAsia="Times New Roman" w:hAnsi="Calibri" w:cs="Calibri"/>
          <w:sz w:val="24"/>
          <w:szCs w:val="24"/>
        </w:rPr>
        <w:t xml:space="preserve">Food Service: </w:t>
      </w:r>
      <w:r w:rsidR="00945AEA" w:rsidRPr="00945AEA">
        <w:rPr>
          <w:rFonts w:ascii="Calibri" w:eastAsia="Times New Roman" w:hAnsi="Calibri" w:cs="Calibri"/>
          <w:sz w:val="24"/>
          <w:szCs w:val="24"/>
        </w:rPr>
        <w:t>320</w:t>
      </w:r>
      <w:r w:rsidRPr="00945AEA">
        <w:rPr>
          <w:rFonts w:ascii="Calibri" w:eastAsia="Times New Roman" w:hAnsi="Calibri" w:cs="Calibri"/>
          <w:sz w:val="24"/>
          <w:szCs w:val="24"/>
        </w:rPr>
        <w:t xml:space="preserve"> units</w:t>
      </w:r>
      <w:r w:rsidR="00B47310" w:rsidRPr="00945AEA">
        <w:rPr>
          <w:rFonts w:ascii="Calibri" w:eastAsia="Times New Roman" w:hAnsi="Calibri" w:cs="Calibri"/>
          <w:sz w:val="24"/>
          <w:szCs w:val="24"/>
        </w:rPr>
        <w:t>.</w:t>
      </w:r>
    </w:p>
    <w:p w14:paraId="438A2345" w14:textId="65F1F94F" w:rsidR="00345735" w:rsidRDefault="00345735" w:rsidP="00345735">
      <w:pPr>
        <w:numPr>
          <w:ilvl w:val="1"/>
          <w:numId w:val="1"/>
        </w:numPr>
        <w:spacing w:after="0" w:line="276" w:lineRule="auto"/>
        <w:contextualSpacing/>
        <w:rPr>
          <w:rFonts w:ascii="Calibri" w:eastAsia="Times New Roman" w:hAnsi="Calibri" w:cs="Calibri"/>
          <w:sz w:val="24"/>
          <w:szCs w:val="24"/>
        </w:rPr>
      </w:pPr>
      <w:r>
        <w:rPr>
          <w:rFonts w:ascii="Calibri" w:eastAsia="Times New Roman" w:hAnsi="Calibri" w:cs="Calibri"/>
          <w:sz w:val="24"/>
          <w:szCs w:val="24"/>
        </w:rPr>
        <w:t>HVAC year-end summary:</w:t>
      </w:r>
    </w:p>
    <w:p w14:paraId="2577DF71" w14:textId="0E206960" w:rsidR="00345735" w:rsidRDefault="00345735" w:rsidP="00345735">
      <w:pPr>
        <w:numPr>
          <w:ilvl w:val="2"/>
          <w:numId w:val="1"/>
        </w:numPr>
        <w:spacing w:after="0" w:line="276" w:lineRule="auto"/>
        <w:contextualSpacing/>
        <w:rPr>
          <w:rFonts w:ascii="Calibri" w:eastAsia="Times New Roman" w:hAnsi="Calibri" w:cs="Calibri"/>
          <w:sz w:val="24"/>
          <w:szCs w:val="24"/>
        </w:rPr>
      </w:pPr>
      <w:r>
        <w:rPr>
          <w:rFonts w:ascii="Calibri" w:eastAsia="Times New Roman" w:hAnsi="Calibri" w:cs="Calibri"/>
          <w:sz w:val="24"/>
          <w:szCs w:val="24"/>
        </w:rPr>
        <w:t>Energy savings: 1,883,895 kWh</w:t>
      </w:r>
    </w:p>
    <w:p w14:paraId="02C3AF92" w14:textId="77777777" w:rsidR="00345735" w:rsidRDefault="00345735" w:rsidP="00345735">
      <w:pPr>
        <w:numPr>
          <w:ilvl w:val="2"/>
          <w:numId w:val="1"/>
        </w:numPr>
        <w:spacing w:after="0" w:line="276" w:lineRule="auto"/>
        <w:contextualSpacing/>
        <w:rPr>
          <w:rFonts w:ascii="Calibri" w:eastAsia="Times New Roman" w:hAnsi="Calibri" w:cs="Calibri"/>
          <w:sz w:val="24"/>
          <w:szCs w:val="24"/>
        </w:rPr>
      </w:pPr>
      <w:r>
        <w:rPr>
          <w:rFonts w:ascii="Calibri" w:eastAsia="Times New Roman" w:hAnsi="Calibri" w:cs="Calibri"/>
          <w:sz w:val="24"/>
          <w:szCs w:val="24"/>
        </w:rPr>
        <w:t>Incentives: $254,312</w:t>
      </w:r>
    </w:p>
    <w:p w14:paraId="4E3A9C38" w14:textId="5C3309B5" w:rsidR="00345735" w:rsidRDefault="00345735" w:rsidP="00345735">
      <w:pPr>
        <w:numPr>
          <w:ilvl w:val="2"/>
          <w:numId w:val="1"/>
        </w:numPr>
        <w:spacing w:after="0" w:line="276" w:lineRule="auto"/>
        <w:contextualSpacing/>
        <w:rPr>
          <w:rFonts w:ascii="Calibri" w:eastAsia="Times New Roman" w:hAnsi="Calibri" w:cs="Calibri"/>
          <w:sz w:val="24"/>
          <w:szCs w:val="24"/>
        </w:rPr>
      </w:pPr>
      <w:r>
        <w:rPr>
          <w:rFonts w:ascii="Calibri" w:eastAsia="Times New Roman" w:hAnsi="Calibri" w:cs="Calibri"/>
          <w:sz w:val="24"/>
          <w:szCs w:val="24"/>
        </w:rPr>
        <w:t>Rebates approved for 5 different HVAC distributors in 2020</w:t>
      </w:r>
      <w:r w:rsidR="0035513C">
        <w:rPr>
          <w:rFonts w:ascii="Calibri" w:eastAsia="Times New Roman" w:hAnsi="Calibri" w:cs="Calibri"/>
          <w:sz w:val="24"/>
          <w:szCs w:val="24"/>
        </w:rPr>
        <w:t>.</w:t>
      </w:r>
    </w:p>
    <w:p w14:paraId="39880169" w14:textId="24C7C8D4" w:rsidR="00345735" w:rsidRDefault="00345735" w:rsidP="00345735">
      <w:pPr>
        <w:numPr>
          <w:ilvl w:val="1"/>
          <w:numId w:val="1"/>
        </w:numPr>
        <w:spacing w:after="0" w:line="276" w:lineRule="auto"/>
        <w:contextualSpacing/>
        <w:rPr>
          <w:rFonts w:ascii="Calibri" w:eastAsia="Times New Roman" w:hAnsi="Calibri" w:cs="Calibri"/>
          <w:sz w:val="24"/>
          <w:szCs w:val="24"/>
        </w:rPr>
      </w:pPr>
      <w:r>
        <w:rPr>
          <w:rFonts w:ascii="Calibri" w:eastAsia="Times New Roman" w:hAnsi="Calibri" w:cs="Calibri"/>
          <w:sz w:val="24"/>
          <w:szCs w:val="24"/>
        </w:rPr>
        <w:t>Food</w:t>
      </w:r>
      <w:r w:rsidR="0035513C">
        <w:rPr>
          <w:rFonts w:ascii="Calibri" w:eastAsia="Times New Roman" w:hAnsi="Calibri" w:cs="Calibri"/>
          <w:sz w:val="24"/>
          <w:szCs w:val="24"/>
        </w:rPr>
        <w:t xml:space="preserve"> </w:t>
      </w:r>
      <w:r>
        <w:rPr>
          <w:rFonts w:ascii="Calibri" w:eastAsia="Times New Roman" w:hAnsi="Calibri" w:cs="Calibri"/>
          <w:sz w:val="24"/>
          <w:szCs w:val="24"/>
        </w:rPr>
        <w:t>service year-end summary:</w:t>
      </w:r>
    </w:p>
    <w:p w14:paraId="31AAF6A8" w14:textId="77777777" w:rsidR="00345735" w:rsidRDefault="00345735" w:rsidP="00345735">
      <w:pPr>
        <w:numPr>
          <w:ilvl w:val="2"/>
          <w:numId w:val="1"/>
        </w:numPr>
        <w:spacing w:after="0" w:line="276" w:lineRule="auto"/>
        <w:contextualSpacing/>
        <w:rPr>
          <w:rFonts w:ascii="Calibri" w:eastAsia="Times New Roman" w:hAnsi="Calibri" w:cs="Calibri"/>
          <w:sz w:val="24"/>
          <w:szCs w:val="24"/>
        </w:rPr>
      </w:pPr>
      <w:r>
        <w:rPr>
          <w:rFonts w:ascii="Calibri" w:eastAsia="Times New Roman" w:hAnsi="Calibri" w:cs="Calibri"/>
          <w:sz w:val="24"/>
          <w:szCs w:val="24"/>
        </w:rPr>
        <w:t>Energy savings: 822,553 kWh</w:t>
      </w:r>
    </w:p>
    <w:p w14:paraId="06C558E3" w14:textId="5FB73953" w:rsidR="00345735" w:rsidRDefault="00345735" w:rsidP="00345735">
      <w:pPr>
        <w:numPr>
          <w:ilvl w:val="2"/>
          <w:numId w:val="1"/>
        </w:numPr>
        <w:spacing w:after="0" w:line="276" w:lineRule="auto"/>
        <w:contextualSpacing/>
        <w:rPr>
          <w:rFonts w:ascii="Calibri" w:eastAsia="Times New Roman" w:hAnsi="Calibri" w:cs="Calibri"/>
          <w:sz w:val="24"/>
          <w:szCs w:val="24"/>
        </w:rPr>
      </w:pPr>
      <w:r>
        <w:rPr>
          <w:rFonts w:ascii="Calibri" w:eastAsia="Times New Roman" w:hAnsi="Calibri" w:cs="Calibri"/>
          <w:sz w:val="24"/>
          <w:szCs w:val="24"/>
        </w:rPr>
        <w:t>Incentives: $81,800</w:t>
      </w:r>
      <w:r>
        <w:rPr>
          <w:rFonts w:ascii="Calibri" w:eastAsia="Times New Roman" w:hAnsi="Calibri" w:cs="Calibri"/>
          <w:sz w:val="24"/>
          <w:szCs w:val="24"/>
        </w:rPr>
        <w:tab/>
      </w:r>
      <w:r>
        <w:rPr>
          <w:rFonts w:ascii="Calibri" w:eastAsia="Times New Roman" w:hAnsi="Calibri" w:cs="Calibri"/>
          <w:sz w:val="24"/>
          <w:szCs w:val="24"/>
        </w:rPr>
        <w:tab/>
      </w:r>
      <w:r>
        <w:rPr>
          <w:rFonts w:ascii="Calibri" w:eastAsia="Times New Roman" w:hAnsi="Calibri" w:cs="Calibri"/>
          <w:sz w:val="24"/>
          <w:szCs w:val="24"/>
        </w:rPr>
        <w:tab/>
      </w:r>
    </w:p>
    <w:p w14:paraId="13A83476" w14:textId="1EC051EA" w:rsidR="00345735" w:rsidRDefault="00345735" w:rsidP="00345735">
      <w:pPr>
        <w:numPr>
          <w:ilvl w:val="2"/>
          <w:numId w:val="1"/>
        </w:numPr>
        <w:spacing w:after="0" w:line="276" w:lineRule="auto"/>
        <w:contextualSpacing/>
        <w:rPr>
          <w:rFonts w:ascii="Calibri" w:eastAsia="Times New Roman" w:hAnsi="Calibri" w:cs="Calibri"/>
          <w:sz w:val="24"/>
          <w:szCs w:val="24"/>
        </w:rPr>
      </w:pPr>
      <w:r>
        <w:rPr>
          <w:rFonts w:ascii="Calibri" w:eastAsia="Times New Roman" w:hAnsi="Calibri" w:cs="Calibri"/>
          <w:sz w:val="24"/>
          <w:szCs w:val="24"/>
        </w:rPr>
        <w:t xml:space="preserve">Rebates approved for 8 different </w:t>
      </w:r>
      <w:r w:rsidR="0035513C">
        <w:rPr>
          <w:rFonts w:ascii="Calibri" w:eastAsia="Times New Roman" w:hAnsi="Calibri" w:cs="Calibri"/>
          <w:sz w:val="24"/>
          <w:szCs w:val="24"/>
        </w:rPr>
        <w:t>F</w:t>
      </w:r>
      <w:r>
        <w:rPr>
          <w:rFonts w:ascii="Calibri" w:eastAsia="Times New Roman" w:hAnsi="Calibri" w:cs="Calibri"/>
          <w:sz w:val="24"/>
          <w:szCs w:val="24"/>
        </w:rPr>
        <w:t>ood</w:t>
      </w:r>
      <w:r w:rsidR="0035513C">
        <w:rPr>
          <w:rFonts w:ascii="Calibri" w:eastAsia="Times New Roman" w:hAnsi="Calibri" w:cs="Calibri"/>
          <w:sz w:val="24"/>
          <w:szCs w:val="24"/>
        </w:rPr>
        <w:t xml:space="preserve"> </w:t>
      </w:r>
      <w:r>
        <w:rPr>
          <w:rFonts w:ascii="Calibri" w:eastAsia="Times New Roman" w:hAnsi="Calibri" w:cs="Calibri"/>
          <w:sz w:val="24"/>
          <w:szCs w:val="24"/>
        </w:rPr>
        <w:t>service distributors/manufacturer rep</w:t>
      </w:r>
      <w:r w:rsidR="001E6A59">
        <w:rPr>
          <w:rFonts w:ascii="Calibri" w:eastAsia="Times New Roman" w:hAnsi="Calibri" w:cs="Calibri"/>
          <w:sz w:val="24"/>
          <w:szCs w:val="24"/>
        </w:rPr>
        <w:t>re</w:t>
      </w:r>
      <w:r>
        <w:rPr>
          <w:rFonts w:ascii="Calibri" w:eastAsia="Times New Roman" w:hAnsi="Calibri" w:cs="Calibri"/>
          <w:sz w:val="24"/>
          <w:szCs w:val="24"/>
        </w:rPr>
        <w:t>s</w:t>
      </w:r>
      <w:r w:rsidR="001E6A59">
        <w:rPr>
          <w:rFonts w:ascii="Calibri" w:eastAsia="Times New Roman" w:hAnsi="Calibri" w:cs="Calibri"/>
          <w:sz w:val="24"/>
          <w:szCs w:val="24"/>
        </w:rPr>
        <w:t>entatives</w:t>
      </w:r>
      <w:r>
        <w:rPr>
          <w:rFonts w:ascii="Calibri" w:eastAsia="Times New Roman" w:hAnsi="Calibri" w:cs="Calibri"/>
          <w:sz w:val="24"/>
          <w:szCs w:val="24"/>
        </w:rPr>
        <w:t xml:space="preserve"> in 2020</w:t>
      </w:r>
      <w:r w:rsidR="0035513C">
        <w:rPr>
          <w:rFonts w:ascii="Calibri" w:eastAsia="Times New Roman" w:hAnsi="Calibri" w:cs="Calibri"/>
          <w:sz w:val="24"/>
          <w:szCs w:val="24"/>
        </w:rPr>
        <w:t>.</w:t>
      </w:r>
    </w:p>
    <w:p w14:paraId="29FD92D2" w14:textId="77777777" w:rsidR="00345735" w:rsidRDefault="00345735" w:rsidP="00345735">
      <w:pPr>
        <w:spacing w:after="0" w:line="276" w:lineRule="auto"/>
        <w:ind w:left="2160"/>
        <w:contextualSpacing/>
        <w:rPr>
          <w:rFonts w:ascii="Calibri" w:eastAsia="Times New Roman" w:hAnsi="Calibri" w:cs="Calibri"/>
          <w:sz w:val="24"/>
          <w:szCs w:val="24"/>
        </w:rPr>
      </w:pPr>
    </w:p>
    <w:p w14:paraId="513954BF" w14:textId="3237A0E6" w:rsidR="002C4F31" w:rsidRPr="002C4F31" w:rsidRDefault="002C4F31" w:rsidP="002C4F31">
      <w:pPr>
        <w:numPr>
          <w:ilvl w:val="0"/>
          <w:numId w:val="1"/>
        </w:numPr>
        <w:spacing w:after="0" w:line="276" w:lineRule="auto"/>
        <w:contextualSpacing/>
        <w:rPr>
          <w:rFonts w:ascii="Calibri" w:eastAsia="Times New Roman" w:hAnsi="Calibri" w:cs="Calibri"/>
          <w:sz w:val="24"/>
          <w:szCs w:val="24"/>
        </w:rPr>
      </w:pPr>
      <w:r w:rsidRPr="002C4F31">
        <w:rPr>
          <w:rFonts w:ascii="Calibri" w:eastAsia="Times New Roman" w:hAnsi="Calibri" w:cs="Calibri"/>
          <w:sz w:val="24"/>
          <w:szCs w:val="24"/>
        </w:rPr>
        <w:t>Commercial Behavioral</w:t>
      </w:r>
    </w:p>
    <w:p w14:paraId="0E0E70C7" w14:textId="7285B9DB" w:rsidR="007E6E99" w:rsidRPr="0068796E" w:rsidRDefault="007E6E99" w:rsidP="007E6E99">
      <w:pPr>
        <w:numPr>
          <w:ilvl w:val="1"/>
          <w:numId w:val="1"/>
        </w:numPr>
        <w:spacing w:after="200" w:line="276" w:lineRule="auto"/>
        <w:contextualSpacing/>
        <w:rPr>
          <w:rFonts w:ascii="Calibri" w:eastAsia="Times New Roman" w:hAnsi="Calibri" w:cs="Calibri"/>
          <w:sz w:val="24"/>
          <w:szCs w:val="24"/>
        </w:rPr>
      </w:pPr>
      <w:r>
        <w:rPr>
          <w:rFonts w:ascii="Calibri" w:eastAsia="Times New Roman" w:hAnsi="Calibri" w:cs="Calibri"/>
          <w:sz w:val="24"/>
          <w:szCs w:val="24"/>
        </w:rPr>
        <w:t xml:space="preserve">Business Electric Assessments: </w:t>
      </w:r>
      <w:r w:rsidR="005674DA">
        <w:rPr>
          <w:rFonts w:ascii="Calibri" w:eastAsia="Times New Roman" w:hAnsi="Calibri" w:cs="Calibri"/>
          <w:sz w:val="24"/>
          <w:szCs w:val="24"/>
        </w:rPr>
        <w:t xml:space="preserve">three </w:t>
      </w:r>
      <w:r>
        <w:rPr>
          <w:rFonts w:ascii="Calibri" w:eastAsia="Times New Roman" w:hAnsi="Calibri" w:cs="Calibri"/>
          <w:sz w:val="24"/>
          <w:szCs w:val="24"/>
        </w:rPr>
        <w:t>waves were sent out in 2020 (August, October</w:t>
      </w:r>
      <w:r w:rsidR="002E0E69">
        <w:rPr>
          <w:rFonts w:ascii="Calibri" w:eastAsia="Times New Roman" w:hAnsi="Calibri" w:cs="Calibri"/>
          <w:sz w:val="24"/>
          <w:szCs w:val="24"/>
        </w:rPr>
        <w:t>,</w:t>
      </w:r>
      <w:r>
        <w:rPr>
          <w:rFonts w:ascii="Calibri" w:eastAsia="Times New Roman" w:hAnsi="Calibri" w:cs="Calibri"/>
          <w:sz w:val="24"/>
          <w:szCs w:val="24"/>
        </w:rPr>
        <w:t xml:space="preserve"> and December).</w:t>
      </w:r>
    </w:p>
    <w:p w14:paraId="5B094C3F" w14:textId="39D518AF" w:rsidR="007E6E99" w:rsidRPr="00B3393F" w:rsidRDefault="007E6E99" w:rsidP="007E6E99">
      <w:pPr>
        <w:numPr>
          <w:ilvl w:val="2"/>
          <w:numId w:val="1"/>
        </w:numPr>
        <w:spacing w:after="200" w:line="276" w:lineRule="auto"/>
        <w:contextualSpacing/>
        <w:rPr>
          <w:rFonts w:ascii="Calibri" w:eastAsia="Times New Roman" w:hAnsi="Calibri" w:cs="Calibri"/>
          <w:sz w:val="24"/>
          <w:szCs w:val="24"/>
        </w:rPr>
      </w:pPr>
      <w:r>
        <w:rPr>
          <w:rFonts w:ascii="Calibri" w:eastAsia="Times New Roman" w:hAnsi="Calibri" w:cs="Calibri"/>
          <w:sz w:val="24"/>
          <w:szCs w:val="24"/>
        </w:rPr>
        <w:t xml:space="preserve">Wave 1 (August): </w:t>
      </w:r>
      <w:r w:rsidRPr="00B3393F">
        <w:rPr>
          <w:rFonts w:ascii="Calibri" w:eastAsia="Times New Roman" w:hAnsi="Calibri" w:cs="Calibri"/>
          <w:sz w:val="24"/>
          <w:szCs w:val="24"/>
        </w:rPr>
        <w:t xml:space="preserve">32,642 </w:t>
      </w:r>
      <w:r>
        <w:rPr>
          <w:rFonts w:ascii="Calibri" w:eastAsia="Times New Roman" w:hAnsi="Calibri" w:cs="Calibri"/>
          <w:sz w:val="24"/>
          <w:szCs w:val="24"/>
        </w:rPr>
        <w:t>reports delivered.</w:t>
      </w:r>
      <w:r w:rsidRPr="00B3393F">
        <w:rPr>
          <w:rFonts w:ascii="Calibri" w:eastAsia="Times New Roman" w:hAnsi="Calibri" w:cs="Calibri"/>
          <w:sz w:val="24"/>
          <w:szCs w:val="24"/>
        </w:rPr>
        <w:t xml:space="preserve">  </w:t>
      </w:r>
    </w:p>
    <w:p w14:paraId="0EBEF172" w14:textId="0F37FDEC" w:rsidR="007E6E99" w:rsidRDefault="007E6E99" w:rsidP="007E6E99">
      <w:pPr>
        <w:numPr>
          <w:ilvl w:val="2"/>
          <w:numId w:val="1"/>
        </w:numPr>
        <w:spacing w:after="200" w:line="276" w:lineRule="auto"/>
        <w:contextualSpacing/>
        <w:rPr>
          <w:rFonts w:ascii="Calibri" w:eastAsia="Times New Roman" w:hAnsi="Calibri" w:cs="Calibri"/>
          <w:sz w:val="24"/>
          <w:szCs w:val="24"/>
        </w:rPr>
      </w:pPr>
      <w:r>
        <w:rPr>
          <w:rFonts w:ascii="Calibri" w:eastAsia="Times New Roman" w:hAnsi="Calibri" w:cs="Calibri"/>
          <w:sz w:val="24"/>
          <w:szCs w:val="24"/>
        </w:rPr>
        <w:t>Wave 2 (October): 31,847 reports delivered.</w:t>
      </w:r>
    </w:p>
    <w:p w14:paraId="4E414CBF" w14:textId="67CC7751" w:rsidR="007E6E99" w:rsidRPr="00B3393F" w:rsidRDefault="007E6E99" w:rsidP="007E6E99">
      <w:pPr>
        <w:numPr>
          <w:ilvl w:val="2"/>
          <w:numId w:val="1"/>
        </w:numPr>
        <w:spacing w:after="200" w:line="276" w:lineRule="auto"/>
        <w:contextualSpacing/>
        <w:rPr>
          <w:rFonts w:ascii="Calibri" w:eastAsia="Times New Roman" w:hAnsi="Calibri" w:cs="Calibri"/>
          <w:sz w:val="24"/>
          <w:szCs w:val="24"/>
        </w:rPr>
      </w:pPr>
      <w:r>
        <w:rPr>
          <w:rFonts w:ascii="Calibri" w:eastAsia="Times New Roman" w:hAnsi="Calibri" w:cs="Calibri"/>
          <w:sz w:val="24"/>
          <w:szCs w:val="24"/>
        </w:rPr>
        <w:t>Wave 3 (December): 31,187 reports delivered.</w:t>
      </w:r>
    </w:p>
    <w:p w14:paraId="3A2A2D47" w14:textId="39B749E6" w:rsidR="007E6E99" w:rsidRDefault="007E6E99" w:rsidP="007E6E99">
      <w:pPr>
        <w:numPr>
          <w:ilvl w:val="1"/>
          <w:numId w:val="1"/>
        </w:numPr>
        <w:spacing w:after="200" w:line="276" w:lineRule="auto"/>
        <w:contextualSpacing/>
        <w:rPr>
          <w:rFonts w:ascii="Calibri" w:eastAsia="Times New Roman" w:hAnsi="Calibri" w:cs="Calibri"/>
          <w:sz w:val="24"/>
          <w:szCs w:val="24"/>
        </w:rPr>
      </w:pPr>
      <w:r>
        <w:rPr>
          <w:rFonts w:ascii="Calibri" w:eastAsia="Times New Roman" w:hAnsi="Calibri" w:cs="Calibri"/>
          <w:sz w:val="24"/>
          <w:szCs w:val="24"/>
        </w:rPr>
        <w:t>There was a low number of opt-outs, only 24 in total.</w:t>
      </w:r>
    </w:p>
    <w:p w14:paraId="7F17DA3A" w14:textId="100A333C" w:rsidR="007E6E99" w:rsidRPr="0002007A" w:rsidRDefault="007E6E99" w:rsidP="007E6E99">
      <w:pPr>
        <w:numPr>
          <w:ilvl w:val="1"/>
          <w:numId w:val="1"/>
        </w:numPr>
        <w:spacing w:after="200" w:line="276" w:lineRule="auto"/>
        <w:contextualSpacing/>
        <w:rPr>
          <w:rFonts w:ascii="Calibri" w:eastAsia="Times New Roman" w:hAnsi="Calibri" w:cs="Calibri"/>
          <w:sz w:val="24"/>
          <w:szCs w:val="24"/>
        </w:rPr>
        <w:sectPr w:rsidR="007E6E99" w:rsidRPr="0002007A" w:rsidSect="002D6A2F">
          <w:footerReference w:type="default" r:id="rId12"/>
          <w:pgSz w:w="12240" w:h="15840"/>
          <w:pgMar w:top="720" w:right="720" w:bottom="720" w:left="720" w:header="720" w:footer="432" w:gutter="0"/>
          <w:cols w:space="720"/>
          <w:docGrid w:linePitch="360"/>
        </w:sectPr>
      </w:pPr>
      <w:r>
        <w:rPr>
          <w:rFonts w:ascii="Calibri" w:eastAsia="Times New Roman" w:hAnsi="Calibri" w:cs="Calibri"/>
          <w:sz w:val="24"/>
          <w:szCs w:val="24"/>
        </w:rPr>
        <w:t>Program w</w:t>
      </w:r>
      <w:r w:rsidRPr="17F030E5">
        <w:rPr>
          <w:rFonts w:ascii="Calibri" w:eastAsia="Times New Roman" w:hAnsi="Calibri" w:cs="Calibri"/>
          <w:sz w:val="24"/>
          <w:szCs w:val="24"/>
        </w:rPr>
        <w:t xml:space="preserve">ebpage </w:t>
      </w:r>
      <w:r>
        <w:rPr>
          <w:rFonts w:ascii="Calibri" w:eastAsia="Times New Roman" w:hAnsi="Calibri" w:cs="Calibri"/>
          <w:sz w:val="24"/>
          <w:szCs w:val="24"/>
        </w:rPr>
        <w:t>continues to be made available to</w:t>
      </w:r>
      <w:r w:rsidRPr="17F030E5">
        <w:rPr>
          <w:rFonts w:ascii="Calibri" w:eastAsia="Times New Roman" w:hAnsi="Calibri" w:cs="Calibri"/>
          <w:sz w:val="24"/>
          <w:szCs w:val="24"/>
        </w:rPr>
        <w:t xml:space="preserve"> participants only, to allow for customer updates to be submitted electronical</w:t>
      </w:r>
      <w:r>
        <w:rPr>
          <w:rFonts w:ascii="Calibri" w:eastAsia="Times New Roman" w:hAnsi="Calibri" w:cs="Calibri"/>
          <w:sz w:val="24"/>
          <w:szCs w:val="24"/>
        </w:rPr>
        <w:t>ly</w:t>
      </w:r>
      <w:r w:rsidR="00F5070F">
        <w:rPr>
          <w:rFonts w:ascii="Calibri" w:eastAsia="Times New Roman" w:hAnsi="Calibri" w:cs="Calibri"/>
          <w:sz w:val="24"/>
          <w:szCs w:val="24"/>
        </w:rPr>
        <w:t>.</w:t>
      </w:r>
    </w:p>
    <w:p w14:paraId="1549C21E" w14:textId="6D024CDC" w:rsidR="007E6E99" w:rsidRDefault="007E6E99" w:rsidP="007E6E99">
      <w:pPr>
        <w:tabs>
          <w:tab w:val="left" w:pos="1999"/>
        </w:tabs>
        <w:rPr>
          <w:rFonts w:ascii="Calibri" w:eastAsia="Times New Roman" w:hAnsi="Calibri" w:cs="Calibri"/>
          <w:sz w:val="24"/>
          <w:szCs w:val="24"/>
        </w:rPr>
      </w:pPr>
    </w:p>
    <w:p w14:paraId="420F52CA" w14:textId="725C4396" w:rsidR="00C96139" w:rsidRDefault="0027793F" w:rsidP="007E6E99">
      <w:pPr>
        <w:tabs>
          <w:tab w:val="left" w:pos="1999"/>
        </w:tabs>
        <w:rPr>
          <w:rFonts w:ascii="Calibri" w:eastAsia="Times New Roman" w:hAnsi="Calibri" w:cs="Calibri"/>
          <w:noProof/>
          <w:sz w:val="20"/>
          <w:szCs w:val="24"/>
        </w:rPr>
      </w:pPr>
      <w:r>
        <w:rPr>
          <w:noProof/>
        </w:rPr>
        <w:drawing>
          <wp:inline distT="0" distB="0" distL="0" distR="0" wp14:anchorId="7444095B" wp14:editId="1D09BF85">
            <wp:extent cx="9145906" cy="535977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145906" cy="5359778"/>
                    </a:xfrm>
                    <a:prstGeom prst="rect">
                      <a:avLst/>
                    </a:prstGeom>
                  </pic:spPr>
                </pic:pic>
              </a:graphicData>
            </a:graphic>
          </wp:inline>
        </w:drawing>
      </w:r>
      <w:r w:rsidR="43D8BDEF" w:rsidRPr="5BC184A9">
        <w:rPr>
          <w:rFonts w:ascii="Calibri" w:eastAsia="Times New Roman" w:hAnsi="Calibri" w:cs="Calibri"/>
          <w:sz w:val="20"/>
          <w:szCs w:val="20"/>
        </w:rPr>
        <w:t xml:space="preserve">Note: All participant data reflects measures installed </w:t>
      </w:r>
      <w:proofErr w:type="gramStart"/>
      <w:r w:rsidR="43D8BDEF" w:rsidRPr="5BC184A9">
        <w:rPr>
          <w:rFonts w:ascii="Calibri" w:eastAsia="Times New Roman" w:hAnsi="Calibri" w:cs="Calibri"/>
          <w:sz w:val="20"/>
          <w:szCs w:val="20"/>
        </w:rPr>
        <w:t>with the exception of</w:t>
      </w:r>
      <w:proofErr w:type="gramEnd"/>
      <w:r w:rsidR="43D8BDEF" w:rsidRPr="5BC184A9">
        <w:rPr>
          <w:rFonts w:ascii="Calibri" w:eastAsia="Times New Roman" w:hAnsi="Calibri" w:cs="Calibri"/>
          <w:sz w:val="20"/>
          <w:szCs w:val="20"/>
        </w:rPr>
        <w:t xml:space="preserve"> Behavioral programs.</w:t>
      </w:r>
    </w:p>
    <w:p w14:paraId="49697E03" w14:textId="0D7BFE53" w:rsidR="002D6A2F" w:rsidRPr="00C96139" w:rsidRDefault="00387A0C" w:rsidP="00C96139">
      <w:pPr>
        <w:spacing w:before="100" w:beforeAutospacing="1" w:after="0" w:line="276" w:lineRule="auto"/>
        <w:ind w:left="-1296"/>
        <w:jc w:val="both"/>
        <w:rPr>
          <w:rFonts w:ascii="Calibri" w:eastAsia="Times New Roman" w:hAnsi="Calibri" w:cs="Calibri"/>
          <w:sz w:val="24"/>
          <w:szCs w:val="24"/>
        </w:rPr>
      </w:pPr>
      <w:r w:rsidRPr="00387A0C">
        <w:rPr>
          <w:noProof/>
        </w:rPr>
        <w:lastRenderedPageBreak/>
        <w:drawing>
          <wp:inline distT="0" distB="0" distL="0" distR="0" wp14:anchorId="6895D483" wp14:editId="2B65E878">
            <wp:extent cx="9838447" cy="581890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866183" cy="5835313"/>
                    </a:xfrm>
                    <a:prstGeom prst="rect">
                      <a:avLst/>
                    </a:prstGeom>
                    <a:noFill/>
                    <a:ln>
                      <a:noFill/>
                    </a:ln>
                  </pic:spPr>
                </pic:pic>
              </a:graphicData>
            </a:graphic>
          </wp:inline>
        </w:drawing>
      </w:r>
    </w:p>
    <w:sectPr w:rsidR="002D6A2F" w:rsidRPr="00C96139" w:rsidSect="002D6A2F">
      <w:footerReference w:type="default" r:id="rId15"/>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3BE9F5" w14:textId="77777777" w:rsidR="00A819BF" w:rsidRDefault="00A819BF" w:rsidP="002C4F31">
      <w:pPr>
        <w:spacing w:after="0" w:line="240" w:lineRule="auto"/>
      </w:pPr>
      <w:r>
        <w:separator/>
      </w:r>
    </w:p>
  </w:endnote>
  <w:endnote w:type="continuationSeparator" w:id="0">
    <w:p w14:paraId="4670CF4A" w14:textId="77777777" w:rsidR="00A819BF" w:rsidRDefault="00A819BF" w:rsidP="002C4F31">
      <w:pPr>
        <w:spacing w:after="0" w:line="240" w:lineRule="auto"/>
      </w:pPr>
      <w:r>
        <w:continuationSeparator/>
      </w:r>
    </w:p>
  </w:endnote>
  <w:endnote w:type="continuationNotice" w:id="1">
    <w:p w14:paraId="09F9F535" w14:textId="77777777" w:rsidR="00A819BF" w:rsidRDefault="00A819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73493210"/>
      <w:docPartObj>
        <w:docPartGallery w:val="Page Numbers (Bottom of Page)"/>
        <w:docPartUnique/>
      </w:docPartObj>
    </w:sdtPr>
    <w:sdtEndPr/>
    <w:sdtContent>
      <w:sdt>
        <w:sdtPr>
          <w:id w:val="509334581"/>
          <w:docPartObj>
            <w:docPartGallery w:val="Page Numbers (Top of Page)"/>
            <w:docPartUnique/>
          </w:docPartObj>
        </w:sdtPr>
        <w:sdtEndPr/>
        <w:sdtContent>
          <w:p w14:paraId="25EDCCE6" w14:textId="77777777" w:rsidR="007E6E99" w:rsidRDefault="007E6E99">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2EDA5438" w14:textId="77777777" w:rsidR="007E6E99" w:rsidRDefault="007E6E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12803896"/>
      <w:docPartObj>
        <w:docPartGallery w:val="Page Numbers (Bottom of Page)"/>
        <w:docPartUnique/>
      </w:docPartObj>
    </w:sdtPr>
    <w:sdtEndPr/>
    <w:sdtContent>
      <w:sdt>
        <w:sdtPr>
          <w:id w:val="1728636285"/>
          <w:docPartObj>
            <w:docPartGallery w:val="Page Numbers (Top of Page)"/>
            <w:docPartUnique/>
          </w:docPartObj>
        </w:sdtPr>
        <w:sdtEndPr/>
        <w:sdtContent>
          <w:p w14:paraId="1C751DAC" w14:textId="23F67592" w:rsidR="00EF12BF" w:rsidRDefault="00EF12B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6641533B" w14:textId="77777777" w:rsidR="002D6A2F" w:rsidRDefault="002D6A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3B7604" w14:textId="77777777" w:rsidR="00A819BF" w:rsidRDefault="00A819BF" w:rsidP="002C4F31">
      <w:pPr>
        <w:spacing w:after="0" w:line="240" w:lineRule="auto"/>
      </w:pPr>
      <w:r>
        <w:separator/>
      </w:r>
    </w:p>
  </w:footnote>
  <w:footnote w:type="continuationSeparator" w:id="0">
    <w:p w14:paraId="4C27135E" w14:textId="77777777" w:rsidR="00A819BF" w:rsidRDefault="00A819BF" w:rsidP="002C4F31">
      <w:pPr>
        <w:spacing w:after="0" w:line="240" w:lineRule="auto"/>
      </w:pPr>
      <w:r>
        <w:continuationSeparator/>
      </w:r>
    </w:p>
  </w:footnote>
  <w:footnote w:type="continuationNotice" w:id="1">
    <w:p w14:paraId="42952BD1" w14:textId="77777777" w:rsidR="00A819BF" w:rsidRDefault="00A819BF">
      <w:pPr>
        <w:spacing w:after="0" w:line="240" w:lineRule="auto"/>
      </w:pPr>
    </w:p>
  </w:footnote>
  <w:footnote w:id="2">
    <w:p w14:paraId="0A911B24" w14:textId="77777777" w:rsidR="002D6A2F" w:rsidRDefault="002D6A2F" w:rsidP="002C4F31">
      <w:pPr>
        <w:pStyle w:val="FootnoteText"/>
      </w:pPr>
      <w:r>
        <w:rPr>
          <w:rStyle w:val="FootnoteReference"/>
        </w:rPr>
        <w:footnoteRef/>
      </w:r>
      <w:r>
        <w:t xml:space="preserve"> Measures and savings across Residential and Commercial programs may be lower than projected due to the COVID-19 pandemic pausing regular operations and functions. </w:t>
      </w:r>
    </w:p>
  </w:footnote>
  <w:footnote w:id="3">
    <w:p w14:paraId="026211C7" w14:textId="1C30C034" w:rsidR="0027793F" w:rsidRDefault="0027793F" w:rsidP="0027793F">
      <w:pPr>
        <w:pStyle w:val="FootnoteText"/>
      </w:pPr>
      <w:bookmarkStart w:id="9" w:name="_Hlk47614571"/>
      <w:r>
        <w:rPr>
          <w:rStyle w:val="FootnoteReference"/>
        </w:rPr>
        <w:footnoteRef/>
      </w:r>
      <w:r>
        <w:t xml:space="preserve"> This includes rollover savings from the HEIP program in December 2019, largely due to </w:t>
      </w:r>
      <w:r w:rsidR="005E3F71">
        <w:t>M</w:t>
      </w:r>
      <w:r>
        <w:t xml:space="preserve">arketplace thermostats. </w:t>
      </w:r>
      <w:bookmarkEnd w:id="9"/>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512E0"/>
    <w:multiLevelType w:val="hybridMultilevel"/>
    <w:tmpl w:val="BB08B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E70F4C"/>
    <w:multiLevelType w:val="hybridMultilevel"/>
    <w:tmpl w:val="876CABC2"/>
    <w:lvl w:ilvl="0" w:tplc="08481F2C">
      <w:start w:val="1"/>
      <w:numFmt w:val="bullet"/>
      <w:lvlText w:val=""/>
      <w:lvlJc w:val="left"/>
      <w:pPr>
        <w:tabs>
          <w:tab w:val="num" w:pos="720"/>
        </w:tabs>
        <w:ind w:left="720" w:hanging="360"/>
      </w:pPr>
      <w:rPr>
        <w:rFonts w:ascii="Symbol" w:hAnsi="Symbol" w:hint="default"/>
        <w:sz w:val="20"/>
      </w:rPr>
    </w:lvl>
    <w:lvl w:ilvl="1" w:tplc="4A8C29E8">
      <w:start w:val="1"/>
      <w:numFmt w:val="bullet"/>
      <w:lvlText w:val="o"/>
      <w:lvlJc w:val="left"/>
      <w:pPr>
        <w:tabs>
          <w:tab w:val="num" w:pos="1440"/>
        </w:tabs>
        <w:ind w:left="1440" w:hanging="360"/>
      </w:pPr>
      <w:rPr>
        <w:rFonts w:ascii="Courier New" w:hAnsi="Courier New" w:hint="default"/>
        <w:sz w:val="24"/>
        <w:szCs w:val="32"/>
      </w:rPr>
    </w:lvl>
    <w:lvl w:ilvl="2" w:tplc="2E1AEBEA">
      <w:start w:val="1"/>
      <w:numFmt w:val="bullet"/>
      <w:lvlText w:val=""/>
      <w:lvlJc w:val="left"/>
      <w:pPr>
        <w:tabs>
          <w:tab w:val="num" w:pos="2160"/>
        </w:tabs>
        <w:ind w:left="2160" w:hanging="360"/>
      </w:pPr>
      <w:rPr>
        <w:rFonts w:ascii="Wingdings" w:hAnsi="Wingdings" w:hint="default"/>
        <w:sz w:val="20"/>
      </w:rPr>
    </w:lvl>
    <w:lvl w:ilvl="3" w:tplc="07385AB2">
      <w:start w:val="1"/>
      <w:numFmt w:val="bullet"/>
      <w:lvlText w:val=""/>
      <w:lvlJc w:val="left"/>
      <w:pPr>
        <w:tabs>
          <w:tab w:val="num" w:pos="2880"/>
        </w:tabs>
        <w:ind w:left="2880" w:hanging="360"/>
      </w:pPr>
      <w:rPr>
        <w:rFonts w:ascii="Symbol" w:hAnsi="Symbol" w:hint="default"/>
        <w:sz w:val="20"/>
      </w:rPr>
    </w:lvl>
    <w:lvl w:ilvl="4" w:tplc="B4E2EBC0" w:tentative="1">
      <w:start w:val="1"/>
      <w:numFmt w:val="bullet"/>
      <w:lvlText w:val=""/>
      <w:lvlJc w:val="left"/>
      <w:pPr>
        <w:tabs>
          <w:tab w:val="num" w:pos="3600"/>
        </w:tabs>
        <w:ind w:left="3600" w:hanging="360"/>
      </w:pPr>
      <w:rPr>
        <w:rFonts w:ascii="Symbol" w:hAnsi="Symbol" w:hint="default"/>
        <w:sz w:val="20"/>
      </w:rPr>
    </w:lvl>
    <w:lvl w:ilvl="5" w:tplc="AD12119E" w:tentative="1">
      <w:start w:val="1"/>
      <w:numFmt w:val="bullet"/>
      <w:lvlText w:val=""/>
      <w:lvlJc w:val="left"/>
      <w:pPr>
        <w:tabs>
          <w:tab w:val="num" w:pos="4320"/>
        </w:tabs>
        <w:ind w:left="4320" w:hanging="360"/>
      </w:pPr>
      <w:rPr>
        <w:rFonts w:ascii="Symbol" w:hAnsi="Symbol" w:hint="default"/>
        <w:sz w:val="20"/>
      </w:rPr>
    </w:lvl>
    <w:lvl w:ilvl="6" w:tplc="4EF20542" w:tentative="1">
      <w:start w:val="1"/>
      <w:numFmt w:val="bullet"/>
      <w:lvlText w:val=""/>
      <w:lvlJc w:val="left"/>
      <w:pPr>
        <w:tabs>
          <w:tab w:val="num" w:pos="5040"/>
        </w:tabs>
        <w:ind w:left="5040" w:hanging="360"/>
      </w:pPr>
      <w:rPr>
        <w:rFonts w:ascii="Symbol" w:hAnsi="Symbol" w:hint="default"/>
        <w:sz w:val="20"/>
      </w:rPr>
    </w:lvl>
    <w:lvl w:ilvl="7" w:tplc="1DACD768" w:tentative="1">
      <w:start w:val="1"/>
      <w:numFmt w:val="bullet"/>
      <w:lvlText w:val=""/>
      <w:lvlJc w:val="left"/>
      <w:pPr>
        <w:tabs>
          <w:tab w:val="num" w:pos="5760"/>
        </w:tabs>
        <w:ind w:left="5760" w:hanging="360"/>
      </w:pPr>
      <w:rPr>
        <w:rFonts w:ascii="Symbol" w:hAnsi="Symbol" w:hint="default"/>
        <w:sz w:val="20"/>
      </w:rPr>
    </w:lvl>
    <w:lvl w:ilvl="8" w:tplc="3B64C42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C1A028E"/>
    <w:multiLevelType w:val="hybridMultilevel"/>
    <w:tmpl w:val="49D4C2B4"/>
    <w:lvl w:ilvl="0" w:tplc="B49EC292">
      <w:start w:val="1"/>
      <w:numFmt w:val="bullet"/>
      <w:lvlText w:val=""/>
      <w:lvlJc w:val="left"/>
      <w:pPr>
        <w:tabs>
          <w:tab w:val="num" w:pos="720"/>
        </w:tabs>
        <w:ind w:left="720" w:hanging="360"/>
      </w:pPr>
      <w:rPr>
        <w:rFonts w:ascii="Wingdings" w:hAnsi="Wingdings" w:hint="default"/>
        <w:sz w:val="20"/>
      </w:rPr>
    </w:lvl>
    <w:lvl w:ilvl="1" w:tplc="EC564520" w:tentative="1">
      <w:start w:val="1"/>
      <w:numFmt w:val="bullet"/>
      <w:lvlText w:val=""/>
      <w:lvlJc w:val="left"/>
      <w:pPr>
        <w:tabs>
          <w:tab w:val="num" w:pos="1440"/>
        </w:tabs>
        <w:ind w:left="1440" w:hanging="360"/>
      </w:pPr>
      <w:rPr>
        <w:rFonts w:ascii="Wingdings" w:hAnsi="Wingdings" w:hint="default"/>
        <w:sz w:val="20"/>
      </w:rPr>
    </w:lvl>
    <w:lvl w:ilvl="2" w:tplc="46E2DA54" w:tentative="1">
      <w:start w:val="1"/>
      <w:numFmt w:val="bullet"/>
      <w:lvlText w:val=""/>
      <w:lvlJc w:val="left"/>
      <w:pPr>
        <w:tabs>
          <w:tab w:val="num" w:pos="2160"/>
        </w:tabs>
        <w:ind w:left="2160" w:hanging="360"/>
      </w:pPr>
      <w:rPr>
        <w:rFonts w:ascii="Wingdings" w:hAnsi="Wingdings" w:hint="default"/>
        <w:sz w:val="20"/>
      </w:rPr>
    </w:lvl>
    <w:lvl w:ilvl="3" w:tplc="7C1822C8" w:tentative="1">
      <w:start w:val="1"/>
      <w:numFmt w:val="bullet"/>
      <w:lvlText w:val=""/>
      <w:lvlJc w:val="left"/>
      <w:pPr>
        <w:tabs>
          <w:tab w:val="num" w:pos="2880"/>
        </w:tabs>
        <w:ind w:left="2880" w:hanging="360"/>
      </w:pPr>
      <w:rPr>
        <w:rFonts w:ascii="Wingdings" w:hAnsi="Wingdings" w:hint="default"/>
        <w:sz w:val="20"/>
      </w:rPr>
    </w:lvl>
    <w:lvl w:ilvl="4" w:tplc="9E82628E" w:tentative="1">
      <w:start w:val="1"/>
      <w:numFmt w:val="bullet"/>
      <w:lvlText w:val=""/>
      <w:lvlJc w:val="left"/>
      <w:pPr>
        <w:tabs>
          <w:tab w:val="num" w:pos="3600"/>
        </w:tabs>
        <w:ind w:left="3600" w:hanging="360"/>
      </w:pPr>
      <w:rPr>
        <w:rFonts w:ascii="Wingdings" w:hAnsi="Wingdings" w:hint="default"/>
        <w:sz w:val="20"/>
      </w:rPr>
    </w:lvl>
    <w:lvl w:ilvl="5" w:tplc="81229576" w:tentative="1">
      <w:start w:val="1"/>
      <w:numFmt w:val="bullet"/>
      <w:lvlText w:val=""/>
      <w:lvlJc w:val="left"/>
      <w:pPr>
        <w:tabs>
          <w:tab w:val="num" w:pos="4320"/>
        </w:tabs>
        <w:ind w:left="4320" w:hanging="360"/>
      </w:pPr>
      <w:rPr>
        <w:rFonts w:ascii="Wingdings" w:hAnsi="Wingdings" w:hint="default"/>
        <w:sz w:val="20"/>
      </w:rPr>
    </w:lvl>
    <w:lvl w:ilvl="6" w:tplc="46BE4D18" w:tentative="1">
      <w:start w:val="1"/>
      <w:numFmt w:val="bullet"/>
      <w:lvlText w:val=""/>
      <w:lvlJc w:val="left"/>
      <w:pPr>
        <w:tabs>
          <w:tab w:val="num" w:pos="5040"/>
        </w:tabs>
        <w:ind w:left="5040" w:hanging="360"/>
      </w:pPr>
      <w:rPr>
        <w:rFonts w:ascii="Wingdings" w:hAnsi="Wingdings" w:hint="default"/>
        <w:sz w:val="20"/>
      </w:rPr>
    </w:lvl>
    <w:lvl w:ilvl="7" w:tplc="E8EC4F70" w:tentative="1">
      <w:start w:val="1"/>
      <w:numFmt w:val="bullet"/>
      <w:lvlText w:val=""/>
      <w:lvlJc w:val="left"/>
      <w:pPr>
        <w:tabs>
          <w:tab w:val="num" w:pos="5760"/>
        </w:tabs>
        <w:ind w:left="5760" w:hanging="360"/>
      </w:pPr>
      <w:rPr>
        <w:rFonts w:ascii="Wingdings" w:hAnsi="Wingdings" w:hint="default"/>
        <w:sz w:val="20"/>
      </w:rPr>
    </w:lvl>
    <w:lvl w:ilvl="8" w:tplc="F29E4866"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AE6EDF"/>
    <w:multiLevelType w:val="hybridMultilevel"/>
    <w:tmpl w:val="7A9E7A30"/>
    <w:lvl w:ilvl="0" w:tplc="5A888470">
      <w:start w:val="1"/>
      <w:numFmt w:val="bullet"/>
      <w:lvlText w:val=""/>
      <w:lvlJc w:val="left"/>
      <w:pPr>
        <w:tabs>
          <w:tab w:val="num" w:pos="720"/>
        </w:tabs>
        <w:ind w:left="720" w:hanging="360"/>
      </w:pPr>
      <w:rPr>
        <w:rFonts w:ascii="Symbol" w:hAnsi="Symbol" w:hint="default"/>
        <w:sz w:val="20"/>
      </w:rPr>
    </w:lvl>
    <w:lvl w:ilvl="1" w:tplc="1E0AE52A" w:tentative="1">
      <w:start w:val="1"/>
      <w:numFmt w:val="bullet"/>
      <w:lvlText w:val=""/>
      <w:lvlJc w:val="left"/>
      <w:pPr>
        <w:tabs>
          <w:tab w:val="num" w:pos="1440"/>
        </w:tabs>
        <w:ind w:left="1440" w:hanging="360"/>
      </w:pPr>
      <w:rPr>
        <w:rFonts w:ascii="Symbol" w:hAnsi="Symbol" w:hint="default"/>
        <w:sz w:val="20"/>
      </w:rPr>
    </w:lvl>
    <w:lvl w:ilvl="2" w:tplc="FD38FA42" w:tentative="1">
      <w:start w:val="1"/>
      <w:numFmt w:val="bullet"/>
      <w:lvlText w:val=""/>
      <w:lvlJc w:val="left"/>
      <w:pPr>
        <w:tabs>
          <w:tab w:val="num" w:pos="2160"/>
        </w:tabs>
        <w:ind w:left="2160" w:hanging="360"/>
      </w:pPr>
      <w:rPr>
        <w:rFonts w:ascii="Symbol" w:hAnsi="Symbol" w:hint="default"/>
        <w:sz w:val="20"/>
      </w:rPr>
    </w:lvl>
    <w:lvl w:ilvl="3" w:tplc="51F45140" w:tentative="1">
      <w:start w:val="1"/>
      <w:numFmt w:val="bullet"/>
      <w:lvlText w:val=""/>
      <w:lvlJc w:val="left"/>
      <w:pPr>
        <w:tabs>
          <w:tab w:val="num" w:pos="2880"/>
        </w:tabs>
        <w:ind w:left="2880" w:hanging="360"/>
      </w:pPr>
      <w:rPr>
        <w:rFonts w:ascii="Symbol" w:hAnsi="Symbol" w:hint="default"/>
        <w:sz w:val="20"/>
      </w:rPr>
    </w:lvl>
    <w:lvl w:ilvl="4" w:tplc="5E705BC6" w:tentative="1">
      <w:start w:val="1"/>
      <w:numFmt w:val="bullet"/>
      <w:lvlText w:val=""/>
      <w:lvlJc w:val="left"/>
      <w:pPr>
        <w:tabs>
          <w:tab w:val="num" w:pos="3600"/>
        </w:tabs>
        <w:ind w:left="3600" w:hanging="360"/>
      </w:pPr>
      <w:rPr>
        <w:rFonts w:ascii="Symbol" w:hAnsi="Symbol" w:hint="default"/>
        <w:sz w:val="20"/>
      </w:rPr>
    </w:lvl>
    <w:lvl w:ilvl="5" w:tplc="214001D2" w:tentative="1">
      <w:start w:val="1"/>
      <w:numFmt w:val="bullet"/>
      <w:lvlText w:val=""/>
      <w:lvlJc w:val="left"/>
      <w:pPr>
        <w:tabs>
          <w:tab w:val="num" w:pos="4320"/>
        </w:tabs>
        <w:ind w:left="4320" w:hanging="360"/>
      </w:pPr>
      <w:rPr>
        <w:rFonts w:ascii="Symbol" w:hAnsi="Symbol" w:hint="default"/>
        <w:sz w:val="20"/>
      </w:rPr>
    </w:lvl>
    <w:lvl w:ilvl="6" w:tplc="503210DA" w:tentative="1">
      <w:start w:val="1"/>
      <w:numFmt w:val="bullet"/>
      <w:lvlText w:val=""/>
      <w:lvlJc w:val="left"/>
      <w:pPr>
        <w:tabs>
          <w:tab w:val="num" w:pos="5040"/>
        </w:tabs>
        <w:ind w:left="5040" w:hanging="360"/>
      </w:pPr>
      <w:rPr>
        <w:rFonts w:ascii="Symbol" w:hAnsi="Symbol" w:hint="default"/>
        <w:sz w:val="20"/>
      </w:rPr>
    </w:lvl>
    <w:lvl w:ilvl="7" w:tplc="BEA8E9A2" w:tentative="1">
      <w:start w:val="1"/>
      <w:numFmt w:val="bullet"/>
      <w:lvlText w:val=""/>
      <w:lvlJc w:val="left"/>
      <w:pPr>
        <w:tabs>
          <w:tab w:val="num" w:pos="5760"/>
        </w:tabs>
        <w:ind w:left="5760" w:hanging="360"/>
      </w:pPr>
      <w:rPr>
        <w:rFonts w:ascii="Symbol" w:hAnsi="Symbol" w:hint="default"/>
        <w:sz w:val="20"/>
      </w:rPr>
    </w:lvl>
    <w:lvl w:ilvl="8" w:tplc="91C6DAE6"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49F54C0"/>
    <w:multiLevelType w:val="multilevel"/>
    <w:tmpl w:val="1BA62C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4"/>
        <w:szCs w:val="32"/>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16572CD"/>
    <w:multiLevelType w:val="hybridMultilevel"/>
    <w:tmpl w:val="1FBCBC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98294D"/>
    <w:multiLevelType w:val="hybridMultilevel"/>
    <w:tmpl w:val="621645BE"/>
    <w:lvl w:ilvl="0" w:tplc="3F1A29FC">
      <w:start w:val="1"/>
      <w:numFmt w:val="bullet"/>
      <w:lvlText w:val="o"/>
      <w:lvlJc w:val="left"/>
      <w:pPr>
        <w:tabs>
          <w:tab w:val="num" w:pos="720"/>
        </w:tabs>
        <w:ind w:left="720" w:hanging="360"/>
      </w:pPr>
      <w:rPr>
        <w:rFonts w:ascii="Courier New" w:hAnsi="Courier New" w:hint="default"/>
        <w:sz w:val="20"/>
      </w:rPr>
    </w:lvl>
    <w:lvl w:ilvl="1" w:tplc="F2262960" w:tentative="1">
      <w:start w:val="1"/>
      <w:numFmt w:val="bullet"/>
      <w:lvlText w:val="o"/>
      <w:lvlJc w:val="left"/>
      <w:pPr>
        <w:tabs>
          <w:tab w:val="num" w:pos="1440"/>
        </w:tabs>
        <w:ind w:left="1440" w:hanging="360"/>
      </w:pPr>
      <w:rPr>
        <w:rFonts w:ascii="Courier New" w:hAnsi="Courier New" w:hint="default"/>
        <w:sz w:val="20"/>
      </w:rPr>
    </w:lvl>
    <w:lvl w:ilvl="2" w:tplc="B296C8C2" w:tentative="1">
      <w:start w:val="1"/>
      <w:numFmt w:val="bullet"/>
      <w:lvlText w:val="o"/>
      <w:lvlJc w:val="left"/>
      <w:pPr>
        <w:tabs>
          <w:tab w:val="num" w:pos="2160"/>
        </w:tabs>
        <w:ind w:left="2160" w:hanging="360"/>
      </w:pPr>
      <w:rPr>
        <w:rFonts w:ascii="Courier New" w:hAnsi="Courier New" w:hint="default"/>
        <w:sz w:val="20"/>
      </w:rPr>
    </w:lvl>
    <w:lvl w:ilvl="3" w:tplc="3FC27434" w:tentative="1">
      <w:start w:val="1"/>
      <w:numFmt w:val="bullet"/>
      <w:lvlText w:val="o"/>
      <w:lvlJc w:val="left"/>
      <w:pPr>
        <w:tabs>
          <w:tab w:val="num" w:pos="2880"/>
        </w:tabs>
        <w:ind w:left="2880" w:hanging="360"/>
      </w:pPr>
      <w:rPr>
        <w:rFonts w:ascii="Courier New" w:hAnsi="Courier New" w:hint="default"/>
        <w:sz w:val="20"/>
      </w:rPr>
    </w:lvl>
    <w:lvl w:ilvl="4" w:tplc="4C9ECBC0" w:tentative="1">
      <w:start w:val="1"/>
      <w:numFmt w:val="bullet"/>
      <w:lvlText w:val="o"/>
      <w:lvlJc w:val="left"/>
      <w:pPr>
        <w:tabs>
          <w:tab w:val="num" w:pos="3600"/>
        </w:tabs>
        <w:ind w:left="3600" w:hanging="360"/>
      </w:pPr>
      <w:rPr>
        <w:rFonts w:ascii="Courier New" w:hAnsi="Courier New" w:hint="default"/>
        <w:sz w:val="20"/>
      </w:rPr>
    </w:lvl>
    <w:lvl w:ilvl="5" w:tplc="FFD64890" w:tentative="1">
      <w:start w:val="1"/>
      <w:numFmt w:val="bullet"/>
      <w:lvlText w:val="o"/>
      <w:lvlJc w:val="left"/>
      <w:pPr>
        <w:tabs>
          <w:tab w:val="num" w:pos="4320"/>
        </w:tabs>
        <w:ind w:left="4320" w:hanging="360"/>
      </w:pPr>
      <w:rPr>
        <w:rFonts w:ascii="Courier New" w:hAnsi="Courier New" w:hint="default"/>
        <w:sz w:val="20"/>
      </w:rPr>
    </w:lvl>
    <w:lvl w:ilvl="6" w:tplc="3C84F2D6" w:tentative="1">
      <w:start w:val="1"/>
      <w:numFmt w:val="bullet"/>
      <w:lvlText w:val="o"/>
      <w:lvlJc w:val="left"/>
      <w:pPr>
        <w:tabs>
          <w:tab w:val="num" w:pos="5040"/>
        </w:tabs>
        <w:ind w:left="5040" w:hanging="360"/>
      </w:pPr>
      <w:rPr>
        <w:rFonts w:ascii="Courier New" w:hAnsi="Courier New" w:hint="default"/>
        <w:sz w:val="20"/>
      </w:rPr>
    </w:lvl>
    <w:lvl w:ilvl="7" w:tplc="8884B9DE" w:tentative="1">
      <w:start w:val="1"/>
      <w:numFmt w:val="bullet"/>
      <w:lvlText w:val="o"/>
      <w:lvlJc w:val="left"/>
      <w:pPr>
        <w:tabs>
          <w:tab w:val="num" w:pos="5760"/>
        </w:tabs>
        <w:ind w:left="5760" w:hanging="360"/>
      </w:pPr>
      <w:rPr>
        <w:rFonts w:ascii="Courier New" w:hAnsi="Courier New" w:hint="default"/>
        <w:sz w:val="20"/>
      </w:rPr>
    </w:lvl>
    <w:lvl w:ilvl="8" w:tplc="EC0400E2"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557115FA"/>
    <w:multiLevelType w:val="hybridMultilevel"/>
    <w:tmpl w:val="888616F4"/>
    <w:lvl w:ilvl="0" w:tplc="6E3A20EA">
      <w:start w:val="1"/>
      <w:numFmt w:val="bullet"/>
      <w:lvlText w:val=""/>
      <w:lvlJc w:val="left"/>
      <w:pPr>
        <w:tabs>
          <w:tab w:val="num" w:pos="720"/>
        </w:tabs>
        <w:ind w:left="720" w:hanging="360"/>
      </w:pPr>
      <w:rPr>
        <w:rFonts w:ascii="Wingdings" w:hAnsi="Wingdings" w:hint="default"/>
        <w:sz w:val="20"/>
      </w:rPr>
    </w:lvl>
    <w:lvl w:ilvl="1" w:tplc="14DA4A00" w:tentative="1">
      <w:start w:val="1"/>
      <w:numFmt w:val="bullet"/>
      <w:lvlText w:val=""/>
      <w:lvlJc w:val="left"/>
      <w:pPr>
        <w:tabs>
          <w:tab w:val="num" w:pos="1440"/>
        </w:tabs>
        <w:ind w:left="1440" w:hanging="360"/>
      </w:pPr>
      <w:rPr>
        <w:rFonts w:ascii="Wingdings" w:hAnsi="Wingdings" w:hint="default"/>
        <w:sz w:val="20"/>
      </w:rPr>
    </w:lvl>
    <w:lvl w:ilvl="2" w:tplc="4E8A59DC" w:tentative="1">
      <w:start w:val="1"/>
      <w:numFmt w:val="bullet"/>
      <w:lvlText w:val=""/>
      <w:lvlJc w:val="left"/>
      <w:pPr>
        <w:tabs>
          <w:tab w:val="num" w:pos="2160"/>
        </w:tabs>
        <w:ind w:left="2160" w:hanging="360"/>
      </w:pPr>
      <w:rPr>
        <w:rFonts w:ascii="Wingdings" w:hAnsi="Wingdings" w:hint="default"/>
        <w:sz w:val="20"/>
      </w:rPr>
    </w:lvl>
    <w:lvl w:ilvl="3" w:tplc="AC862E5C" w:tentative="1">
      <w:start w:val="1"/>
      <w:numFmt w:val="bullet"/>
      <w:lvlText w:val=""/>
      <w:lvlJc w:val="left"/>
      <w:pPr>
        <w:tabs>
          <w:tab w:val="num" w:pos="2880"/>
        </w:tabs>
        <w:ind w:left="2880" w:hanging="360"/>
      </w:pPr>
      <w:rPr>
        <w:rFonts w:ascii="Wingdings" w:hAnsi="Wingdings" w:hint="default"/>
        <w:sz w:val="20"/>
      </w:rPr>
    </w:lvl>
    <w:lvl w:ilvl="4" w:tplc="FC26C2C6" w:tentative="1">
      <w:start w:val="1"/>
      <w:numFmt w:val="bullet"/>
      <w:lvlText w:val=""/>
      <w:lvlJc w:val="left"/>
      <w:pPr>
        <w:tabs>
          <w:tab w:val="num" w:pos="3600"/>
        </w:tabs>
        <w:ind w:left="3600" w:hanging="360"/>
      </w:pPr>
      <w:rPr>
        <w:rFonts w:ascii="Wingdings" w:hAnsi="Wingdings" w:hint="default"/>
        <w:sz w:val="20"/>
      </w:rPr>
    </w:lvl>
    <w:lvl w:ilvl="5" w:tplc="DFAA3784" w:tentative="1">
      <w:start w:val="1"/>
      <w:numFmt w:val="bullet"/>
      <w:lvlText w:val=""/>
      <w:lvlJc w:val="left"/>
      <w:pPr>
        <w:tabs>
          <w:tab w:val="num" w:pos="4320"/>
        </w:tabs>
        <w:ind w:left="4320" w:hanging="360"/>
      </w:pPr>
      <w:rPr>
        <w:rFonts w:ascii="Wingdings" w:hAnsi="Wingdings" w:hint="default"/>
        <w:sz w:val="20"/>
      </w:rPr>
    </w:lvl>
    <w:lvl w:ilvl="6" w:tplc="3900301A" w:tentative="1">
      <w:start w:val="1"/>
      <w:numFmt w:val="bullet"/>
      <w:lvlText w:val=""/>
      <w:lvlJc w:val="left"/>
      <w:pPr>
        <w:tabs>
          <w:tab w:val="num" w:pos="5040"/>
        </w:tabs>
        <w:ind w:left="5040" w:hanging="360"/>
      </w:pPr>
      <w:rPr>
        <w:rFonts w:ascii="Wingdings" w:hAnsi="Wingdings" w:hint="default"/>
        <w:sz w:val="20"/>
      </w:rPr>
    </w:lvl>
    <w:lvl w:ilvl="7" w:tplc="C812D494" w:tentative="1">
      <w:start w:val="1"/>
      <w:numFmt w:val="bullet"/>
      <w:lvlText w:val=""/>
      <w:lvlJc w:val="left"/>
      <w:pPr>
        <w:tabs>
          <w:tab w:val="num" w:pos="5760"/>
        </w:tabs>
        <w:ind w:left="5760" w:hanging="360"/>
      </w:pPr>
      <w:rPr>
        <w:rFonts w:ascii="Wingdings" w:hAnsi="Wingdings" w:hint="default"/>
        <w:sz w:val="20"/>
      </w:rPr>
    </w:lvl>
    <w:lvl w:ilvl="8" w:tplc="DEAE409E"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57826BB"/>
    <w:multiLevelType w:val="multilevel"/>
    <w:tmpl w:val="0B32D59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15:restartNumberingAfterBreak="0">
    <w:nsid w:val="67CA6DDE"/>
    <w:multiLevelType w:val="multilevel"/>
    <w:tmpl w:val="49C0C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8E52D48"/>
    <w:multiLevelType w:val="multilevel"/>
    <w:tmpl w:val="D3A2A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9F92A23"/>
    <w:multiLevelType w:val="hybridMultilevel"/>
    <w:tmpl w:val="96BC31C0"/>
    <w:lvl w:ilvl="0" w:tplc="9042AE5C">
      <w:start w:val="1"/>
      <w:numFmt w:val="bullet"/>
      <w:lvlText w:val=""/>
      <w:lvlJc w:val="left"/>
      <w:pPr>
        <w:tabs>
          <w:tab w:val="num" w:pos="720"/>
        </w:tabs>
        <w:ind w:left="720" w:hanging="360"/>
      </w:pPr>
      <w:rPr>
        <w:rFonts w:ascii="Wingdings" w:hAnsi="Wingdings" w:hint="default"/>
        <w:sz w:val="20"/>
      </w:rPr>
    </w:lvl>
    <w:lvl w:ilvl="1" w:tplc="6B620878" w:tentative="1">
      <w:start w:val="1"/>
      <w:numFmt w:val="bullet"/>
      <w:lvlText w:val=""/>
      <w:lvlJc w:val="left"/>
      <w:pPr>
        <w:tabs>
          <w:tab w:val="num" w:pos="1440"/>
        </w:tabs>
        <w:ind w:left="1440" w:hanging="360"/>
      </w:pPr>
      <w:rPr>
        <w:rFonts w:ascii="Wingdings" w:hAnsi="Wingdings" w:hint="default"/>
        <w:sz w:val="20"/>
      </w:rPr>
    </w:lvl>
    <w:lvl w:ilvl="2" w:tplc="591C1F4E" w:tentative="1">
      <w:start w:val="1"/>
      <w:numFmt w:val="bullet"/>
      <w:lvlText w:val=""/>
      <w:lvlJc w:val="left"/>
      <w:pPr>
        <w:tabs>
          <w:tab w:val="num" w:pos="2160"/>
        </w:tabs>
        <w:ind w:left="2160" w:hanging="360"/>
      </w:pPr>
      <w:rPr>
        <w:rFonts w:ascii="Wingdings" w:hAnsi="Wingdings" w:hint="default"/>
        <w:sz w:val="20"/>
      </w:rPr>
    </w:lvl>
    <w:lvl w:ilvl="3" w:tplc="766CA0AE" w:tentative="1">
      <w:start w:val="1"/>
      <w:numFmt w:val="bullet"/>
      <w:lvlText w:val=""/>
      <w:lvlJc w:val="left"/>
      <w:pPr>
        <w:tabs>
          <w:tab w:val="num" w:pos="2880"/>
        </w:tabs>
        <w:ind w:left="2880" w:hanging="360"/>
      </w:pPr>
      <w:rPr>
        <w:rFonts w:ascii="Wingdings" w:hAnsi="Wingdings" w:hint="default"/>
        <w:sz w:val="20"/>
      </w:rPr>
    </w:lvl>
    <w:lvl w:ilvl="4" w:tplc="A71425E6" w:tentative="1">
      <w:start w:val="1"/>
      <w:numFmt w:val="bullet"/>
      <w:lvlText w:val=""/>
      <w:lvlJc w:val="left"/>
      <w:pPr>
        <w:tabs>
          <w:tab w:val="num" w:pos="3600"/>
        </w:tabs>
        <w:ind w:left="3600" w:hanging="360"/>
      </w:pPr>
      <w:rPr>
        <w:rFonts w:ascii="Wingdings" w:hAnsi="Wingdings" w:hint="default"/>
        <w:sz w:val="20"/>
      </w:rPr>
    </w:lvl>
    <w:lvl w:ilvl="5" w:tplc="37F4D98E" w:tentative="1">
      <w:start w:val="1"/>
      <w:numFmt w:val="bullet"/>
      <w:lvlText w:val=""/>
      <w:lvlJc w:val="left"/>
      <w:pPr>
        <w:tabs>
          <w:tab w:val="num" w:pos="4320"/>
        </w:tabs>
        <w:ind w:left="4320" w:hanging="360"/>
      </w:pPr>
      <w:rPr>
        <w:rFonts w:ascii="Wingdings" w:hAnsi="Wingdings" w:hint="default"/>
        <w:sz w:val="20"/>
      </w:rPr>
    </w:lvl>
    <w:lvl w:ilvl="6" w:tplc="A39067CE" w:tentative="1">
      <w:start w:val="1"/>
      <w:numFmt w:val="bullet"/>
      <w:lvlText w:val=""/>
      <w:lvlJc w:val="left"/>
      <w:pPr>
        <w:tabs>
          <w:tab w:val="num" w:pos="5040"/>
        </w:tabs>
        <w:ind w:left="5040" w:hanging="360"/>
      </w:pPr>
      <w:rPr>
        <w:rFonts w:ascii="Wingdings" w:hAnsi="Wingdings" w:hint="default"/>
        <w:sz w:val="20"/>
      </w:rPr>
    </w:lvl>
    <w:lvl w:ilvl="7" w:tplc="E424DF7E" w:tentative="1">
      <w:start w:val="1"/>
      <w:numFmt w:val="bullet"/>
      <w:lvlText w:val=""/>
      <w:lvlJc w:val="left"/>
      <w:pPr>
        <w:tabs>
          <w:tab w:val="num" w:pos="5760"/>
        </w:tabs>
        <w:ind w:left="5760" w:hanging="360"/>
      </w:pPr>
      <w:rPr>
        <w:rFonts w:ascii="Wingdings" w:hAnsi="Wingdings" w:hint="default"/>
        <w:sz w:val="20"/>
      </w:rPr>
    </w:lvl>
    <w:lvl w:ilvl="8" w:tplc="6EE81BA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DB9050C"/>
    <w:multiLevelType w:val="multilevel"/>
    <w:tmpl w:val="7BD4EF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1"/>
  </w:num>
  <w:num w:numId="4">
    <w:abstractNumId w:val="4"/>
  </w:num>
  <w:num w:numId="5">
    <w:abstractNumId w:val="7"/>
  </w:num>
  <w:num w:numId="6">
    <w:abstractNumId w:val="11"/>
  </w:num>
  <w:num w:numId="7">
    <w:abstractNumId w:val="6"/>
  </w:num>
  <w:num w:numId="8">
    <w:abstractNumId w:val="12"/>
  </w:num>
  <w:num w:numId="9">
    <w:abstractNumId w:val="9"/>
  </w:num>
  <w:num w:numId="10">
    <w:abstractNumId w:val="8"/>
  </w:num>
  <w:num w:numId="11">
    <w:abstractNumId w:val="2"/>
  </w:num>
  <w:num w:numId="12">
    <w:abstractNumId w:val="1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F31"/>
    <w:rsid w:val="00003D93"/>
    <w:rsid w:val="000070E8"/>
    <w:rsid w:val="0000713D"/>
    <w:rsid w:val="0000781E"/>
    <w:rsid w:val="00011D9B"/>
    <w:rsid w:val="00015268"/>
    <w:rsid w:val="00015E5F"/>
    <w:rsid w:val="00016745"/>
    <w:rsid w:val="00025632"/>
    <w:rsid w:val="000267BF"/>
    <w:rsid w:val="00026C1E"/>
    <w:rsid w:val="00027396"/>
    <w:rsid w:val="00034D30"/>
    <w:rsid w:val="000362A3"/>
    <w:rsid w:val="00040CA1"/>
    <w:rsid w:val="00057FCF"/>
    <w:rsid w:val="00076094"/>
    <w:rsid w:val="00077976"/>
    <w:rsid w:val="000801DC"/>
    <w:rsid w:val="00087894"/>
    <w:rsid w:val="00090814"/>
    <w:rsid w:val="000914A8"/>
    <w:rsid w:val="00092AFB"/>
    <w:rsid w:val="00092CA4"/>
    <w:rsid w:val="000A0B86"/>
    <w:rsid w:val="000A112A"/>
    <w:rsid w:val="000B0FA5"/>
    <w:rsid w:val="000B4B27"/>
    <w:rsid w:val="000B6ABC"/>
    <w:rsid w:val="000B6CA2"/>
    <w:rsid w:val="000B7F0B"/>
    <w:rsid w:val="000C0A15"/>
    <w:rsid w:val="000C286B"/>
    <w:rsid w:val="000C68AE"/>
    <w:rsid w:val="000C690E"/>
    <w:rsid w:val="000D27B7"/>
    <w:rsid w:val="000E160D"/>
    <w:rsid w:val="000E1C28"/>
    <w:rsid w:val="000F121D"/>
    <w:rsid w:val="000F3214"/>
    <w:rsid w:val="00101D47"/>
    <w:rsid w:val="00102E0C"/>
    <w:rsid w:val="00104416"/>
    <w:rsid w:val="001129D6"/>
    <w:rsid w:val="0012191A"/>
    <w:rsid w:val="00123D70"/>
    <w:rsid w:val="0012670A"/>
    <w:rsid w:val="00134654"/>
    <w:rsid w:val="00137833"/>
    <w:rsid w:val="0014446E"/>
    <w:rsid w:val="0014538A"/>
    <w:rsid w:val="0015147F"/>
    <w:rsid w:val="001554AE"/>
    <w:rsid w:val="00162A55"/>
    <w:rsid w:val="00164205"/>
    <w:rsid w:val="001647A2"/>
    <w:rsid w:val="0016530F"/>
    <w:rsid w:val="0017519F"/>
    <w:rsid w:val="00181B52"/>
    <w:rsid w:val="001857A7"/>
    <w:rsid w:val="0018688B"/>
    <w:rsid w:val="001A0148"/>
    <w:rsid w:val="001A563B"/>
    <w:rsid w:val="001B6EC9"/>
    <w:rsid w:val="001C4263"/>
    <w:rsid w:val="001C58EC"/>
    <w:rsid w:val="001C5E0A"/>
    <w:rsid w:val="001D19FE"/>
    <w:rsid w:val="001D1FB9"/>
    <w:rsid w:val="001D4DB7"/>
    <w:rsid w:val="001D77ED"/>
    <w:rsid w:val="001E1F52"/>
    <w:rsid w:val="001E6A59"/>
    <w:rsid w:val="001F0421"/>
    <w:rsid w:val="00207F1B"/>
    <w:rsid w:val="00211370"/>
    <w:rsid w:val="00226464"/>
    <w:rsid w:val="0023304D"/>
    <w:rsid w:val="00233155"/>
    <w:rsid w:val="002405FD"/>
    <w:rsid w:val="00242C94"/>
    <w:rsid w:val="00244CF7"/>
    <w:rsid w:val="0025189D"/>
    <w:rsid w:val="00251CDC"/>
    <w:rsid w:val="00265126"/>
    <w:rsid w:val="00267555"/>
    <w:rsid w:val="002703CE"/>
    <w:rsid w:val="0027653C"/>
    <w:rsid w:val="0027793F"/>
    <w:rsid w:val="002818C9"/>
    <w:rsid w:val="002929D2"/>
    <w:rsid w:val="002A7F02"/>
    <w:rsid w:val="002B4FFF"/>
    <w:rsid w:val="002B5459"/>
    <w:rsid w:val="002C0BA7"/>
    <w:rsid w:val="002C3F89"/>
    <w:rsid w:val="002C4F31"/>
    <w:rsid w:val="002C59C3"/>
    <w:rsid w:val="002D6A2F"/>
    <w:rsid w:val="002E0E69"/>
    <w:rsid w:val="002E5348"/>
    <w:rsid w:val="002E7017"/>
    <w:rsid w:val="002F2B88"/>
    <w:rsid w:val="002F4745"/>
    <w:rsid w:val="002F6BB5"/>
    <w:rsid w:val="00304118"/>
    <w:rsid w:val="00304CFF"/>
    <w:rsid w:val="00306257"/>
    <w:rsid w:val="00306999"/>
    <w:rsid w:val="0031402B"/>
    <w:rsid w:val="00316261"/>
    <w:rsid w:val="00317CEA"/>
    <w:rsid w:val="003217C8"/>
    <w:rsid w:val="00326D42"/>
    <w:rsid w:val="00331B7A"/>
    <w:rsid w:val="00334093"/>
    <w:rsid w:val="00342A98"/>
    <w:rsid w:val="00345735"/>
    <w:rsid w:val="003478BD"/>
    <w:rsid w:val="0035513C"/>
    <w:rsid w:val="00355AE3"/>
    <w:rsid w:val="00357831"/>
    <w:rsid w:val="00357F0C"/>
    <w:rsid w:val="00362295"/>
    <w:rsid w:val="00364248"/>
    <w:rsid w:val="00366E3A"/>
    <w:rsid w:val="00367184"/>
    <w:rsid w:val="00373D22"/>
    <w:rsid w:val="0037531A"/>
    <w:rsid w:val="00376CEF"/>
    <w:rsid w:val="00386D0A"/>
    <w:rsid w:val="00387665"/>
    <w:rsid w:val="00387A0C"/>
    <w:rsid w:val="0039521E"/>
    <w:rsid w:val="003A1F0C"/>
    <w:rsid w:val="003C2C3F"/>
    <w:rsid w:val="003C31D7"/>
    <w:rsid w:val="003C5691"/>
    <w:rsid w:val="003D3B38"/>
    <w:rsid w:val="003E36DD"/>
    <w:rsid w:val="003E5E27"/>
    <w:rsid w:val="00401B23"/>
    <w:rsid w:val="00402121"/>
    <w:rsid w:val="00402C43"/>
    <w:rsid w:val="00404903"/>
    <w:rsid w:val="00412190"/>
    <w:rsid w:val="00412827"/>
    <w:rsid w:val="00424C78"/>
    <w:rsid w:val="004301B7"/>
    <w:rsid w:val="00431A19"/>
    <w:rsid w:val="00432587"/>
    <w:rsid w:val="00432D01"/>
    <w:rsid w:val="004336F4"/>
    <w:rsid w:val="004605F0"/>
    <w:rsid w:val="004629D2"/>
    <w:rsid w:val="0047021A"/>
    <w:rsid w:val="00475423"/>
    <w:rsid w:val="00476AD8"/>
    <w:rsid w:val="004829B9"/>
    <w:rsid w:val="004831E9"/>
    <w:rsid w:val="00486FCC"/>
    <w:rsid w:val="004978D8"/>
    <w:rsid w:val="004A3800"/>
    <w:rsid w:val="004A4804"/>
    <w:rsid w:val="004B26AC"/>
    <w:rsid w:val="004C56F8"/>
    <w:rsid w:val="004C616A"/>
    <w:rsid w:val="004C6957"/>
    <w:rsid w:val="004C78E2"/>
    <w:rsid w:val="004C7D0B"/>
    <w:rsid w:val="004E0741"/>
    <w:rsid w:val="004E0928"/>
    <w:rsid w:val="004E0EC5"/>
    <w:rsid w:val="004F5E0E"/>
    <w:rsid w:val="004F672D"/>
    <w:rsid w:val="00501512"/>
    <w:rsid w:val="0051300E"/>
    <w:rsid w:val="005157D3"/>
    <w:rsid w:val="005271F1"/>
    <w:rsid w:val="00555EE3"/>
    <w:rsid w:val="00557479"/>
    <w:rsid w:val="005604F1"/>
    <w:rsid w:val="005656DB"/>
    <w:rsid w:val="005674DA"/>
    <w:rsid w:val="00570423"/>
    <w:rsid w:val="005705BD"/>
    <w:rsid w:val="00573BAC"/>
    <w:rsid w:val="00574D9A"/>
    <w:rsid w:val="00576E83"/>
    <w:rsid w:val="00577D1B"/>
    <w:rsid w:val="0058147F"/>
    <w:rsid w:val="005826CE"/>
    <w:rsid w:val="00583E05"/>
    <w:rsid w:val="005A15D2"/>
    <w:rsid w:val="005B3F13"/>
    <w:rsid w:val="005D0F9F"/>
    <w:rsid w:val="005D5547"/>
    <w:rsid w:val="005D7B19"/>
    <w:rsid w:val="005E1F60"/>
    <w:rsid w:val="005E2602"/>
    <w:rsid w:val="005E278A"/>
    <w:rsid w:val="005E3F71"/>
    <w:rsid w:val="005E44D6"/>
    <w:rsid w:val="005E6FAF"/>
    <w:rsid w:val="005E7B3A"/>
    <w:rsid w:val="005F398C"/>
    <w:rsid w:val="005F4F7B"/>
    <w:rsid w:val="006031EF"/>
    <w:rsid w:val="00606778"/>
    <w:rsid w:val="006111C7"/>
    <w:rsid w:val="00613F8F"/>
    <w:rsid w:val="006156A3"/>
    <w:rsid w:val="00615C60"/>
    <w:rsid w:val="00620F1A"/>
    <w:rsid w:val="00623C8B"/>
    <w:rsid w:val="006269EF"/>
    <w:rsid w:val="0062774E"/>
    <w:rsid w:val="00627D6C"/>
    <w:rsid w:val="00627DE8"/>
    <w:rsid w:val="00631321"/>
    <w:rsid w:val="00632D47"/>
    <w:rsid w:val="006334CD"/>
    <w:rsid w:val="00633EC7"/>
    <w:rsid w:val="0063469C"/>
    <w:rsid w:val="00637EEA"/>
    <w:rsid w:val="006517E7"/>
    <w:rsid w:val="006601E9"/>
    <w:rsid w:val="00680460"/>
    <w:rsid w:val="00680C69"/>
    <w:rsid w:val="00681A68"/>
    <w:rsid w:val="006862CE"/>
    <w:rsid w:val="006868E2"/>
    <w:rsid w:val="0068791D"/>
    <w:rsid w:val="00696234"/>
    <w:rsid w:val="006A28E4"/>
    <w:rsid w:val="006A473D"/>
    <w:rsid w:val="006A657A"/>
    <w:rsid w:val="006B4262"/>
    <w:rsid w:val="006B4526"/>
    <w:rsid w:val="006B6C76"/>
    <w:rsid w:val="006C2E78"/>
    <w:rsid w:val="006D1843"/>
    <w:rsid w:val="006D1E5C"/>
    <w:rsid w:val="006D3EC0"/>
    <w:rsid w:val="006D640D"/>
    <w:rsid w:val="006D7AC8"/>
    <w:rsid w:val="006E26FE"/>
    <w:rsid w:val="006E45B8"/>
    <w:rsid w:val="006E474A"/>
    <w:rsid w:val="006E6789"/>
    <w:rsid w:val="006E6B91"/>
    <w:rsid w:val="006E6D43"/>
    <w:rsid w:val="006F1932"/>
    <w:rsid w:val="006F309D"/>
    <w:rsid w:val="006F78DE"/>
    <w:rsid w:val="007013F9"/>
    <w:rsid w:val="00701568"/>
    <w:rsid w:val="007022D3"/>
    <w:rsid w:val="007048C6"/>
    <w:rsid w:val="00704B3A"/>
    <w:rsid w:val="00704E8E"/>
    <w:rsid w:val="00707AB8"/>
    <w:rsid w:val="007138F2"/>
    <w:rsid w:val="00714907"/>
    <w:rsid w:val="00714AE6"/>
    <w:rsid w:val="00720F84"/>
    <w:rsid w:val="00721A5D"/>
    <w:rsid w:val="00725F65"/>
    <w:rsid w:val="00730709"/>
    <w:rsid w:val="00731BA8"/>
    <w:rsid w:val="00735464"/>
    <w:rsid w:val="0073639A"/>
    <w:rsid w:val="00742319"/>
    <w:rsid w:val="00744A9F"/>
    <w:rsid w:val="007511D5"/>
    <w:rsid w:val="00756EDD"/>
    <w:rsid w:val="007601E3"/>
    <w:rsid w:val="007613D3"/>
    <w:rsid w:val="007743BE"/>
    <w:rsid w:val="00777040"/>
    <w:rsid w:val="00780DA1"/>
    <w:rsid w:val="00781C1D"/>
    <w:rsid w:val="00782896"/>
    <w:rsid w:val="00782EC8"/>
    <w:rsid w:val="007871C0"/>
    <w:rsid w:val="00792FBC"/>
    <w:rsid w:val="007966B9"/>
    <w:rsid w:val="00797143"/>
    <w:rsid w:val="007975DF"/>
    <w:rsid w:val="007A5296"/>
    <w:rsid w:val="007B1340"/>
    <w:rsid w:val="007B5394"/>
    <w:rsid w:val="007C2390"/>
    <w:rsid w:val="007D458E"/>
    <w:rsid w:val="007E2E50"/>
    <w:rsid w:val="007E50E9"/>
    <w:rsid w:val="007E5150"/>
    <w:rsid w:val="007E6E99"/>
    <w:rsid w:val="007F28BF"/>
    <w:rsid w:val="007F2FF3"/>
    <w:rsid w:val="007F3DE4"/>
    <w:rsid w:val="007F6610"/>
    <w:rsid w:val="00803486"/>
    <w:rsid w:val="0080748D"/>
    <w:rsid w:val="00810AFB"/>
    <w:rsid w:val="00811BF5"/>
    <w:rsid w:val="0082051F"/>
    <w:rsid w:val="00820F2D"/>
    <w:rsid w:val="00833B3B"/>
    <w:rsid w:val="00840174"/>
    <w:rsid w:val="00841A02"/>
    <w:rsid w:val="00846226"/>
    <w:rsid w:val="00846759"/>
    <w:rsid w:val="008530FB"/>
    <w:rsid w:val="0085500A"/>
    <w:rsid w:val="0085747B"/>
    <w:rsid w:val="00860C5A"/>
    <w:rsid w:val="00872C72"/>
    <w:rsid w:val="00876750"/>
    <w:rsid w:val="00881A52"/>
    <w:rsid w:val="008856B8"/>
    <w:rsid w:val="008921E4"/>
    <w:rsid w:val="008A3C63"/>
    <w:rsid w:val="008B10D5"/>
    <w:rsid w:val="008B32FF"/>
    <w:rsid w:val="008B54F6"/>
    <w:rsid w:val="008C40BC"/>
    <w:rsid w:val="008C4216"/>
    <w:rsid w:val="008C4633"/>
    <w:rsid w:val="008C71B6"/>
    <w:rsid w:val="008D4021"/>
    <w:rsid w:val="008E7C71"/>
    <w:rsid w:val="008F64FD"/>
    <w:rsid w:val="0090239A"/>
    <w:rsid w:val="00902AFF"/>
    <w:rsid w:val="009033CC"/>
    <w:rsid w:val="0090414D"/>
    <w:rsid w:val="00905B20"/>
    <w:rsid w:val="00917859"/>
    <w:rsid w:val="00925AEA"/>
    <w:rsid w:val="0093376B"/>
    <w:rsid w:val="00934BC4"/>
    <w:rsid w:val="00945AEA"/>
    <w:rsid w:val="0095344F"/>
    <w:rsid w:val="00966295"/>
    <w:rsid w:val="009706F6"/>
    <w:rsid w:val="00970BCE"/>
    <w:rsid w:val="00971AC8"/>
    <w:rsid w:val="00986D40"/>
    <w:rsid w:val="0099770F"/>
    <w:rsid w:val="009A4828"/>
    <w:rsid w:val="009A73AA"/>
    <w:rsid w:val="009B3158"/>
    <w:rsid w:val="009C258E"/>
    <w:rsid w:val="009C431E"/>
    <w:rsid w:val="009C7685"/>
    <w:rsid w:val="009C787F"/>
    <w:rsid w:val="009D1580"/>
    <w:rsid w:val="009D32A0"/>
    <w:rsid w:val="009D5712"/>
    <w:rsid w:val="009E23F7"/>
    <w:rsid w:val="009F4D08"/>
    <w:rsid w:val="009F533B"/>
    <w:rsid w:val="00A050DF"/>
    <w:rsid w:val="00A07BB6"/>
    <w:rsid w:val="00A100BD"/>
    <w:rsid w:val="00A23892"/>
    <w:rsid w:val="00A25298"/>
    <w:rsid w:val="00A26AF5"/>
    <w:rsid w:val="00A31723"/>
    <w:rsid w:val="00A400B8"/>
    <w:rsid w:val="00A5731B"/>
    <w:rsid w:val="00A6438A"/>
    <w:rsid w:val="00A7090A"/>
    <w:rsid w:val="00A71414"/>
    <w:rsid w:val="00A72569"/>
    <w:rsid w:val="00A819BF"/>
    <w:rsid w:val="00A825B8"/>
    <w:rsid w:val="00A905C6"/>
    <w:rsid w:val="00A96804"/>
    <w:rsid w:val="00AA07AF"/>
    <w:rsid w:val="00AA6C54"/>
    <w:rsid w:val="00AB0D51"/>
    <w:rsid w:val="00AB45A5"/>
    <w:rsid w:val="00AB741A"/>
    <w:rsid w:val="00AC142E"/>
    <w:rsid w:val="00AC1ADF"/>
    <w:rsid w:val="00AC29A1"/>
    <w:rsid w:val="00AC4087"/>
    <w:rsid w:val="00AD45DD"/>
    <w:rsid w:val="00AD7ECC"/>
    <w:rsid w:val="00AE2F3F"/>
    <w:rsid w:val="00AF14DA"/>
    <w:rsid w:val="00B0107C"/>
    <w:rsid w:val="00B036A4"/>
    <w:rsid w:val="00B04362"/>
    <w:rsid w:val="00B100B7"/>
    <w:rsid w:val="00B11C67"/>
    <w:rsid w:val="00B2255B"/>
    <w:rsid w:val="00B27695"/>
    <w:rsid w:val="00B32C87"/>
    <w:rsid w:val="00B3393F"/>
    <w:rsid w:val="00B34967"/>
    <w:rsid w:val="00B359C3"/>
    <w:rsid w:val="00B35D75"/>
    <w:rsid w:val="00B368C0"/>
    <w:rsid w:val="00B405E4"/>
    <w:rsid w:val="00B4110F"/>
    <w:rsid w:val="00B42743"/>
    <w:rsid w:val="00B432EB"/>
    <w:rsid w:val="00B47310"/>
    <w:rsid w:val="00B5038C"/>
    <w:rsid w:val="00B51EDC"/>
    <w:rsid w:val="00B563B8"/>
    <w:rsid w:val="00B6221F"/>
    <w:rsid w:val="00B7198F"/>
    <w:rsid w:val="00B73CF0"/>
    <w:rsid w:val="00B7413A"/>
    <w:rsid w:val="00B77273"/>
    <w:rsid w:val="00B779C9"/>
    <w:rsid w:val="00B80348"/>
    <w:rsid w:val="00B809B5"/>
    <w:rsid w:val="00B901C4"/>
    <w:rsid w:val="00BA2020"/>
    <w:rsid w:val="00BA5A52"/>
    <w:rsid w:val="00BA708F"/>
    <w:rsid w:val="00BB2691"/>
    <w:rsid w:val="00BB5825"/>
    <w:rsid w:val="00BB5CFE"/>
    <w:rsid w:val="00BB69AD"/>
    <w:rsid w:val="00BB7777"/>
    <w:rsid w:val="00BC6192"/>
    <w:rsid w:val="00BD499A"/>
    <w:rsid w:val="00BF725D"/>
    <w:rsid w:val="00C01CF2"/>
    <w:rsid w:val="00C17E5B"/>
    <w:rsid w:val="00C24723"/>
    <w:rsid w:val="00C2622D"/>
    <w:rsid w:val="00C366DD"/>
    <w:rsid w:val="00C379B1"/>
    <w:rsid w:val="00C55C46"/>
    <w:rsid w:val="00C62E9C"/>
    <w:rsid w:val="00C66749"/>
    <w:rsid w:val="00C7298B"/>
    <w:rsid w:val="00C773E7"/>
    <w:rsid w:val="00C82186"/>
    <w:rsid w:val="00C821A9"/>
    <w:rsid w:val="00C9118E"/>
    <w:rsid w:val="00C96139"/>
    <w:rsid w:val="00CA4B3B"/>
    <w:rsid w:val="00CB6141"/>
    <w:rsid w:val="00CB635D"/>
    <w:rsid w:val="00CB7F46"/>
    <w:rsid w:val="00CC02F0"/>
    <w:rsid w:val="00CC28B9"/>
    <w:rsid w:val="00CD0D1F"/>
    <w:rsid w:val="00CD278C"/>
    <w:rsid w:val="00CD5976"/>
    <w:rsid w:val="00CE2C5F"/>
    <w:rsid w:val="00CE2E62"/>
    <w:rsid w:val="00CE6AB0"/>
    <w:rsid w:val="00CF0610"/>
    <w:rsid w:val="00CF0A3E"/>
    <w:rsid w:val="00CF114A"/>
    <w:rsid w:val="00CF3144"/>
    <w:rsid w:val="00CF4BFD"/>
    <w:rsid w:val="00CF5B29"/>
    <w:rsid w:val="00CF6251"/>
    <w:rsid w:val="00CF7C2F"/>
    <w:rsid w:val="00D10278"/>
    <w:rsid w:val="00D10F86"/>
    <w:rsid w:val="00D25813"/>
    <w:rsid w:val="00D259BA"/>
    <w:rsid w:val="00D307B0"/>
    <w:rsid w:val="00D30BD5"/>
    <w:rsid w:val="00D3543D"/>
    <w:rsid w:val="00D359B8"/>
    <w:rsid w:val="00D40D09"/>
    <w:rsid w:val="00D46233"/>
    <w:rsid w:val="00D47842"/>
    <w:rsid w:val="00D53422"/>
    <w:rsid w:val="00D53FB2"/>
    <w:rsid w:val="00D62C77"/>
    <w:rsid w:val="00D638DD"/>
    <w:rsid w:val="00D641D3"/>
    <w:rsid w:val="00D64360"/>
    <w:rsid w:val="00D7020C"/>
    <w:rsid w:val="00D70BB3"/>
    <w:rsid w:val="00D973D7"/>
    <w:rsid w:val="00DB1EBF"/>
    <w:rsid w:val="00DB3377"/>
    <w:rsid w:val="00DB3603"/>
    <w:rsid w:val="00DB6364"/>
    <w:rsid w:val="00DC3D11"/>
    <w:rsid w:val="00DC7E25"/>
    <w:rsid w:val="00DD1A5E"/>
    <w:rsid w:val="00DD4445"/>
    <w:rsid w:val="00DE41EA"/>
    <w:rsid w:val="00DE65C2"/>
    <w:rsid w:val="00DE7D68"/>
    <w:rsid w:val="00DF2CB8"/>
    <w:rsid w:val="00DF3625"/>
    <w:rsid w:val="00DF779C"/>
    <w:rsid w:val="00DF7B16"/>
    <w:rsid w:val="00E04707"/>
    <w:rsid w:val="00E05085"/>
    <w:rsid w:val="00E05691"/>
    <w:rsid w:val="00E1015E"/>
    <w:rsid w:val="00E12725"/>
    <w:rsid w:val="00E151AB"/>
    <w:rsid w:val="00E16091"/>
    <w:rsid w:val="00E30CF2"/>
    <w:rsid w:val="00E3523C"/>
    <w:rsid w:val="00E42A1F"/>
    <w:rsid w:val="00E51310"/>
    <w:rsid w:val="00E574FD"/>
    <w:rsid w:val="00E60E1B"/>
    <w:rsid w:val="00E66FAE"/>
    <w:rsid w:val="00E7372F"/>
    <w:rsid w:val="00E74276"/>
    <w:rsid w:val="00E857FD"/>
    <w:rsid w:val="00E87E34"/>
    <w:rsid w:val="00E90B51"/>
    <w:rsid w:val="00E964E6"/>
    <w:rsid w:val="00EB441F"/>
    <w:rsid w:val="00EC2A9B"/>
    <w:rsid w:val="00ED04FC"/>
    <w:rsid w:val="00ED0A73"/>
    <w:rsid w:val="00ED12D3"/>
    <w:rsid w:val="00ED3C04"/>
    <w:rsid w:val="00EE06A8"/>
    <w:rsid w:val="00EE2D99"/>
    <w:rsid w:val="00EE3596"/>
    <w:rsid w:val="00EE635E"/>
    <w:rsid w:val="00EF12BF"/>
    <w:rsid w:val="00EF4F7A"/>
    <w:rsid w:val="00EF5C05"/>
    <w:rsid w:val="00F0241C"/>
    <w:rsid w:val="00F26088"/>
    <w:rsid w:val="00F32111"/>
    <w:rsid w:val="00F34017"/>
    <w:rsid w:val="00F408FD"/>
    <w:rsid w:val="00F50299"/>
    <w:rsid w:val="00F50337"/>
    <w:rsid w:val="00F5070F"/>
    <w:rsid w:val="00F52B16"/>
    <w:rsid w:val="00F54728"/>
    <w:rsid w:val="00F5486C"/>
    <w:rsid w:val="00F5787D"/>
    <w:rsid w:val="00F62F2B"/>
    <w:rsid w:val="00F6454E"/>
    <w:rsid w:val="00F65170"/>
    <w:rsid w:val="00F77FF4"/>
    <w:rsid w:val="00F90B65"/>
    <w:rsid w:val="00F9447F"/>
    <w:rsid w:val="00F97296"/>
    <w:rsid w:val="00F97482"/>
    <w:rsid w:val="00F97970"/>
    <w:rsid w:val="00FA54C1"/>
    <w:rsid w:val="00FA7446"/>
    <w:rsid w:val="00FC015A"/>
    <w:rsid w:val="00FC5A9A"/>
    <w:rsid w:val="00FC5B48"/>
    <w:rsid w:val="00FD1226"/>
    <w:rsid w:val="00FD5ECC"/>
    <w:rsid w:val="00FF159D"/>
    <w:rsid w:val="00FF4156"/>
    <w:rsid w:val="00FF498E"/>
    <w:rsid w:val="011A7F50"/>
    <w:rsid w:val="02A81032"/>
    <w:rsid w:val="02FB2DA7"/>
    <w:rsid w:val="054D6A60"/>
    <w:rsid w:val="069B73F2"/>
    <w:rsid w:val="07F05AAB"/>
    <w:rsid w:val="07F675F0"/>
    <w:rsid w:val="08008689"/>
    <w:rsid w:val="08979BA1"/>
    <w:rsid w:val="089C923B"/>
    <w:rsid w:val="09569492"/>
    <w:rsid w:val="0A4CCA2D"/>
    <w:rsid w:val="0AC477E7"/>
    <w:rsid w:val="0ADD88E8"/>
    <w:rsid w:val="0B901B16"/>
    <w:rsid w:val="0BBA1811"/>
    <w:rsid w:val="0C6AFC52"/>
    <w:rsid w:val="0E445BC4"/>
    <w:rsid w:val="0EAFBD53"/>
    <w:rsid w:val="0EFBF75F"/>
    <w:rsid w:val="0F40093D"/>
    <w:rsid w:val="0F838925"/>
    <w:rsid w:val="0FB6217E"/>
    <w:rsid w:val="0FF610C6"/>
    <w:rsid w:val="10278EB6"/>
    <w:rsid w:val="111FCC61"/>
    <w:rsid w:val="11D2E1FD"/>
    <w:rsid w:val="11E12035"/>
    <w:rsid w:val="123DF16B"/>
    <w:rsid w:val="1290D310"/>
    <w:rsid w:val="1362496A"/>
    <w:rsid w:val="14BA96AE"/>
    <w:rsid w:val="153E42AF"/>
    <w:rsid w:val="15D57BAE"/>
    <w:rsid w:val="16B14BCC"/>
    <w:rsid w:val="17F030E5"/>
    <w:rsid w:val="198E07D1"/>
    <w:rsid w:val="19F7865F"/>
    <w:rsid w:val="1B4D37C4"/>
    <w:rsid w:val="1B8E7C5E"/>
    <w:rsid w:val="1B96AD9C"/>
    <w:rsid w:val="1D55C5EC"/>
    <w:rsid w:val="1DEFD87F"/>
    <w:rsid w:val="1EB654B3"/>
    <w:rsid w:val="1F58C93E"/>
    <w:rsid w:val="2036EDEF"/>
    <w:rsid w:val="209EA6F8"/>
    <w:rsid w:val="20A18DFB"/>
    <w:rsid w:val="21703B43"/>
    <w:rsid w:val="2257B913"/>
    <w:rsid w:val="23BD9BEE"/>
    <w:rsid w:val="23DF180B"/>
    <w:rsid w:val="23F668BD"/>
    <w:rsid w:val="24F9EB46"/>
    <w:rsid w:val="25193E08"/>
    <w:rsid w:val="2536D247"/>
    <w:rsid w:val="25CA093F"/>
    <w:rsid w:val="26704E48"/>
    <w:rsid w:val="269C8F17"/>
    <w:rsid w:val="26E3343B"/>
    <w:rsid w:val="27A72B29"/>
    <w:rsid w:val="2A73DCB3"/>
    <w:rsid w:val="2B19EA9B"/>
    <w:rsid w:val="2B5CFA31"/>
    <w:rsid w:val="2DDF21B6"/>
    <w:rsid w:val="2DE4598F"/>
    <w:rsid w:val="2E903EFF"/>
    <w:rsid w:val="2EB8E360"/>
    <w:rsid w:val="2F96143F"/>
    <w:rsid w:val="309E7DCA"/>
    <w:rsid w:val="32CE257C"/>
    <w:rsid w:val="3564766B"/>
    <w:rsid w:val="362483F7"/>
    <w:rsid w:val="365D5629"/>
    <w:rsid w:val="37367290"/>
    <w:rsid w:val="378064B7"/>
    <w:rsid w:val="38767406"/>
    <w:rsid w:val="39B7ACA3"/>
    <w:rsid w:val="3A185B8D"/>
    <w:rsid w:val="3B423D66"/>
    <w:rsid w:val="3B9DFD8E"/>
    <w:rsid w:val="3C1791FF"/>
    <w:rsid w:val="3CA963C0"/>
    <w:rsid w:val="3CEA3C84"/>
    <w:rsid w:val="3D891118"/>
    <w:rsid w:val="3D9DCD9C"/>
    <w:rsid w:val="3DB37B80"/>
    <w:rsid w:val="3EC662C9"/>
    <w:rsid w:val="410E81E2"/>
    <w:rsid w:val="41AA36B2"/>
    <w:rsid w:val="41EAE440"/>
    <w:rsid w:val="43232BE5"/>
    <w:rsid w:val="43839C2C"/>
    <w:rsid w:val="43D8BDEF"/>
    <w:rsid w:val="4416E417"/>
    <w:rsid w:val="445DD43A"/>
    <w:rsid w:val="451344E6"/>
    <w:rsid w:val="45C15056"/>
    <w:rsid w:val="46142F53"/>
    <w:rsid w:val="4782E5E4"/>
    <w:rsid w:val="479689D1"/>
    <w:rsid w:val="483DE8A6"/>
    <w:rsid w:val="491725EE"/>
    <w:rsid w:val="4A9F220D"/>
    <w:rsid w:val="4AB40C3A"/>
    <w:rsid w:val="4ABABB2E"/>
    <w:rsid w:val="4B30B598"/>
    <w:rsid w:val="4D0115BF"/>
    <w:rsid w:val="4D5349E2"/>
    <w:rsid w:val="4E6FAB9B"/>
    <w:rsid w:val="4E7B0AB1"/>
    <w:rsid w:val="4EBB7BE5"/>
    <w:rsid w:val="4EBEBBBC"/>
    <w:rsid w:val="4EF078F2"/>
    <w:rsid w:val="4F4A2828"/>
    <w:rsid w:val="4FF4F3D4"/>
    <w:rsid w:val="5024EEE2"/>
    <w:rsid w:val="5043EC4E"/>
    <w:rsid w:val="5048F601"/>
    <w:rsid w:val="50566E1E"/>
    <w:rsid w:val="50ED879F"/>
    <w:rsid w:val="52B5DD80"/>
    <w:rsid w:val="52CAA47B"/>
    <w:rsid w:val="540A6E30"/>
    <w:rsid w:val="5473D185"/>
    <w:rsid w:val="556AE520"/>
    <w:rsid w:val="566CF439"/>
    <w:rsid w:val="58A2954F"/>
    <w:rsid w:val="59747A4F"/>
    <w:rsid w:val="5A9D8A6D"/>
    <w:rsid w:val="5B714D84"/>
    <w:rsid w:val="5B928ACC"/>
    <w:rsid w:val="5BBC6368"/>
    <w:rsid w:val="5BC184A9"/>
    <w:rsid w:val="5C4C025F"/>
    <w:rsid w:val="5D3B8705"/>
    <w:rsid w:val="5E9A9D34"/>
    <w:rsid w:val="5EA9ACFF"/>
    <w:rsid w:val="5ECB3B7A"/>
    <w:rsid w:val="5F1722D5"/>
    <w:rsid w:val="5F6D438E"/>
    <w:rsid w:val="5FF2D094"/>
    <w:rsid w:val="61B38304"/>
    <w:rsid w:val="61D84F85"/>
    <w:rsid w:val="6330EC92"/>
    <w:rsid w:val="65347E45"/>
    <w:rsid w:val="661E914A"/>
    <w:rsid w:val="6767BD83"/>
    <w:rsid w:val="67B925BD"/>
    <w:rsid w:val="68049FE4"/>
    <w:rsid w:val="68691456"/>
    <w:rsid w:val="68A4DCBE"/>
    <w:rsid w:val="697EDE4C"/>
    <w:rsid w:val="69D4F398"/>
    <w:rsid w:val="69F8FF7F"/>
    <w:rsid w:val="6A11AE9F"/>
    <w:rsid w:val="6B6CC3CE"/>
    <w:rsid w:val="6C5B0BB1"/>
    <w:rsid w:val="6C7D892C"/>
    <w:rsid w:val="6ED6657A"/>
    <w:rsid w:val="6EFFFFF7"/>
    <w:rsid w:val="701C43C3"/>
    <w:rsid w:val="7194FCC6"/>
    <w:rsid w:val="71A2EE24"/>
    <w:rsid w:val="750C9229"/>
    <w:rsid w:val="7564BE66"/>
    <w:rsid w:val="76D33DAE"/>
    <w:rsid w:val="77901F82"/>
    <w:rsid w:val="7809F581"/>
    <w:rsid w:val="782C37DA"/>
    <w:rsid w:val="79AB38AA"/>
    <w:rsid w:val="7BBC5605"/>
    <w:rsid w:val="7BE26292"/>
    <w:rsid w:val="7CB65F2B"/>
    <w:rsid w:val="7E4DAE13"/>
    <w:rsid w:val="7F38E0D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3BA6F"/>
  <w15:chartTrackingRefBased/>
  <w15:docId w15:val="{F726ABB8-4AFA-4DD0-B676-164D50C92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C4F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4F31"/>
  </w:style>
  <w:style w:type="paragraph" w:styleId="FootnoteText">
    <w:name w:val="footnote text"/>
    <w:basedOn w:val="Normal"/>
    <w:link w:val="FootnoteTextChar"/>
    <w:uiPriority w:val="99"/>
    <w:semiHidden/>
    <w:unhideWhenUsed/>
    <w:rsid w:val="002C4F3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C4F31"/>
    <w:rPr>
      <w:sz w:val="20"/>
      <w:szCs w:val="20"/>
    </w:rPr>
  </w:style>
  <w:style w:type="character" w:styleId="FootnoteReference">
    <w:name w:val="footnote reference"/>
    <w:basedOn w:val="DefaultParagraphFont"/>
    <w:uiPriority w:val="99"/>
    <w:semiHidden/>
    <w:unhideWhenUsed/>
    <w:rsid w:val="002C4F31"/>
    <w:rPr>
      <w:vertAlign w:val="superscript"/>
    </w:rPr>
  </w:style>
  <w:style w:type="paragraph" w:styleId="ListParagraph">
    <w:name w:val="List Paragraph"/>
    <w:basedOn w:val="Normal"/>
    <w:uiPriority w:val="34"/>
    <w:qFormat/>
    <w:rsid w:val="00B3393F"/>
    <w:pPr>
      <w:ind w:left="720"/>
      <w:contextualSpacing/>
    </w:pPr>
  </w:style>
  <w:style w:type="paragraph" w:styleId="BalloonText">
    <w:name w:val="Balloon Text"/>
    <w:basedOn w:val="Normal"/>
    <w:link w:val="BalloonTextChar"/>
    <w:uiPriority w:val="99"/>
    <w:semiHidden/>
    <w:unhideWhenUsed/>
    <w:rsid w:val="009D15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1580"/>
    <w:rPr>
      <w:rFonts w:ascii="Segoe UI" w:hAnsi="Segoe UI" w:cs="Segoe UI"/>
      <w:sz w:val="18"/>
      <w:szCs w:val="18"/>
    </w:rPr>
  </w:style>
  <w:style w:type="character" w:styleId="CommentReference">
    <w:name w:val="annotation reference"/>
    <w:basedOn w:val="DefaultParagraphFont"/>
    <w:uiPriority w:val="99"/>
    <w:semiHidden/>
    <w:unhideWhenUsed/>
    <w:rsid w:val="00C96139"/>
    <w:rPr>
      <w:sz w:val="16"/>
      <w:szCs w:val="16"/>
    </w:rPr>
  </w:style>
  <w:style w:type="paragraph" w:styleId="CommentText">
    <w:name w:val="annotation text"/>
    <w:basedOn w:val="Normal"/>
    <w:link w:val="CommentTextChar"/>
    <w:uiPriority w:val="99"/>
    <w:unhideWhenUsed/>
    <w:rsid w:val="00C96139"/>
    <w:pPr>
      <w:spacing w:line="240" w:lineRule="auto"/>
    </w:pPr>
    <w:rPr>
      <w:sz w:val="20"/>
      <w:szCs w:val="20"/>
    </w:rPr>
  </w:style>
  <w:style w:type="character" w:customStyle="1" w:styleId="CommentTextChar">
    <w:name w:val="Comment Text Char"/>
    <w:basedOn w:val="DefaultParagraphFont"/>
    <w:link w:val="CommentText"/>
    <w:uiPriority w:val="99"/>
    <w:rsid w:val="00C96139"/>
    <w:rPr>
      <w:sz w:val="20"/>
      <w:szCs w:val="20"/>
    </w:rPr>
  </w:style>
  <w:style w:type="paragraph" w:styleId="CommentSubject">
    <w:name w:val="annotation subject"/>
    <w:basedOn w:val="CommentText"/>
    <w:next w:val="CommentText"/>
    <w:link w:val="CommentSubjectChar"/>
    <w:uiPriority w:val="99"/>
    <w:semiHidden/>
    <w:unhideWhenUsed/>
    <w:rsid w:val="00C96139"/>
    <w:rPr>
      <w:b/>
      <w:bCs/>
    </w:rPr>
  </w:style>
  <w:style w:type="character" w:customStyle="1" w:styleId="CommentSubjectChar">
    <w:name w:val="Comment Subject Char"/>
    <w:basedOn w:val="CommentTextChar"/>
    <w:link w:val="CommentSubject"/>
    <w:uiPriority w:val="99"/>
    <w:semiHidden/>
    <w:rsid w:val="00C96139"/>
    <w:rPr>
      <w:b/>
      <w:bCs/>
      <w:sz w:val="20"/>
      <w:szCs w:val="20"/>
    </w:rPr>
  </w:style>
  <w:style w:type="paragraph" w:styleId="Header">
    <w:name w:val="header"/>
    <w:basedOn w:val="Normal"/>
    <w:link w:val="HeaderChar"/>
    <w:uiPriority w:val="99"/>
    <w:unhideWhenUsed/>
    <w:rsid w:val="00304C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4CFF"/>
  </w:style>
  <w:style w:type="character" w:styleId="Mention">
    <w:name w:val="Mention"/>
    <w:basedOn w:val="DefaultParagraphFont"/>
    <w:uiPriority w:val="99"/>
    <w:unhideWhenUsed/>
    <w:rsid w:val="0095344F"/>
    <w:rPr>
      <w:color w:val="2B579A"/>
      <w:shd w:val="clear" w:color="auto" w:fill="E6E6E6"/>
    </w:rPr>
  </w:style>
  <w:style w:type="character" w:styleId="UnresolvedMention">
    <w:name w:val="Unresolved Mention"/>
    <w:basedOn w:val="DefaultParagraphFont"/>
    <w:uiPriority w:val="99"/>
    <w:unhideWhenUsed/>
    <w:rsid w:val="007F2F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96527">
      <w:bodyDiv w:val="1"/>
      <w:marLeft w:val="0"/>
      <w:marRight w:val="0"/>
      <w:marTop w:val="0"/>
      <w:marBottom w:val="0"/>
      <w:divBdr>
        <w:top w:val="none" w:sz="0" w:space="0" w:color="auto"/>
        <w:left w:val="none" w:sz="0" w:space="0" w:color="auto"/>
        <w:bottom w:val="none" w:sz="0" w:space="0" w:color="auto"/>
        <w:right w:val="none" w:sz="0" w:space="0" w:color="auto"/>
      </w:divBdr>
      <w:divsChild>
        <w:div w:id="161941691">
          <w:marLeft w:val="0"/>
          <w:marRight w:val="0"/>
          <w:marTop w:val="0"/>
          <w:marBottom w:val="0"/>
          <w:divBdr>
            <w:top w:val="none" w:sz="0" w:space="0" w:color="auto"/>
            <w:left w:val="none" w:sz="0" w:space="0" w:color="auto"/>
            <w:bottom w:val="none" w:sz="0" w:space="0" w:color="auto"/>
            <w:right w:val="none" w:sz="0" w:space="0" w:color="auto"/>
          </w:divBdr>
        </w:div>
        <w:div w:id="258373303">
          <w:marLeft w:val="0"/>
          <w:marRight w:val="0"/>
          <w:marTop w:val="0"/>
          <w:marBottom w:val="0"/>
          <w:divBdr>
            <w:top w:val="none" w:sz="0" w:space="0" w:color="auto"/>
            <w:left w:val="none" w:sz="0" w:space="0" w:color="auto"/>
            <w:bottom w:val="none" w:sz="0" w:space="0" w:color="auto"/>
            <w:right w:val="none" w:sz="0" w:space="0" w:color="auto"/>
          </w:divBdr>
        </w:div>
      </w:divsChild>
    </w:div>
    <w:div w:id="598368068">
      <w:bodyDiv w:val="1"/>
      <w:marLeft w:val="0"/>
      <w:marRight w:val="0"/>
      <w:marTop w:val="0"/>
      <w:marBottom w:val="0"/>
      <w:divBdr>
        <w:top w:val="none" w:sz="0" w:space="0" w:color="auto"/>
        <w:left w:val="none" w:sz="0" w:space="0" w:color="auto"/>
        <w:bottom w:val="none" w:sz="0" w:space="0" w:color="auto"/>
        <w:right w:val="none" w:sz="0" w:space="0" w:color="auto"/>
      </w:divBdr>
      <w:divsChild>
        <w:div w:id="52043351">
          <w:marLeft w:val="0"/>
          <w:marRight w:val="0"/>
          <w:marTop w:val="0"/>
          <w:marBottom w:val="0"/>
          <w:divBdr>
            <w:top w:val="none" w:sz="0" w:space="0" w:color="auto"/>
            <w:left w:val="none" w:sz="0" w:space="0" w:color="auto"/>
            <w:bottom w:val="none" w:sz="0" w:space="0" w:color="auto"/>
            <w:right w:val="none" w:sz="0" w:space="0" w:color="auto"/>
          </w:divBdr>
        </w:div>
        <w:div w:id="54738622">
          <w:marLeft w:val="0"/>
          <w:marRight w:val="0"/>
          <w:marTop w:val="0"/>
          <w:marBottom w:val="0"/>
          <w:divBdr>
            <w:top w:val="none" w:sz="0" w:space="0" w:color="auto"/>
            <w:left w:val="none" w:sz="0" w:space="0" w:color="auto"/>
            <w:bottom w:val="none" w:sz="0" w:space="0" w:color="auto"/>
            <w:right w:val="none" w:sz="0" w:space="0" w:color="auto"/>
          </w:divBdr>
        </w:div>
      </w:divsChild>
    </w:div>
    <w:div w:id="800071220">
      <w:bodyDiv w:val="1"/>
      <w:marLeft w:val="0"/>
      <w:marRight w:val="0"/>
      <w:marTop w:val="0"/>
      <w:marBottom w:val="0"/>
      <w:divBdr>
        <w:top w:val="none" w:sz="0" w:space="0" w:color="auto"/>
        <w:left w:val="none" w:sz="0" w:space="0" w:color="auto"/>
        <w:bottom w:val="none" w:sz="0" w:space="0" w:color="auto"/>
        <w:right w:val="none" w:sz="0" w:space="0" w:color="auto"/>
      </w:divBdr>
      <w:divsChild>
        <w:div w:id="590359000">
          <w:marLeft w:val="0"/>
          <w:marRight w:val="0"/>
          <w:marTop w:val="0"/>
          <w:marBottom w:val="0"/>
          <w:divBdr>
            <w:top w:val="none" w:sz="0" w:space="0" w:color="auto"/>
            <w:left w:val="none" w:sz="0" w:space="0" w:color="auto"/>
            <w:bottom w:val="none" w:sz="0" w:space="0" w:color="auto"/>
            <w:right w:val="none" w:sz="0" w:space="0" w:color="auto"/>
          </w:divBdr>
        </w:div>
        <w:div w:id="1525826737">
          <w:marLeft w:val="0"/>
          <w:marRight w:val="0"/>
          <w:marTop w:val="0"/>
          <w:marBottom w:val="0"/>
          <w:divBdr>
            <w:top w:val="none" w:sz="0" w:space="0" w:color="auto"/>
            <w:left w:val="none" w:sz="0" w:space="0" w:color="auto"/>
            <w:bottom w:val="none" w:sz="0" w:space="0" w:color="auto"/>
            <w:right w:val="none" w:sz="0" w:space="0" w:color="auto"/>
          </w:divBdr>
        </w:div>
        <w:div w:id="1654526718">
          <w:marLeft w:val="0"/>
          <w:marRight w:val="0"/>
          <w:marTop w:val="0"/>
          <w:marBottom w:val="0"/>
          <w:divBdr>
            <w:top w:val="none" w:sz="0" w:space="0" w:color="auto"/>
            <w:left w:val="none" w:sz="0" w:space="0" w:color="auto"/>
            <w:bottom w:val="none" w:sz="0" w:space="0" w:color="auto"/>
            <w:right w:val="none" w:sz="0" w:space="0" w:color="auto"/>
          </w:divBdr>
        </w:div>
        <w:div w:id="1987274659">
          <w:marLeft w:val="0"/>
          <w:marRight w:val="0"/>
          <w:marTop w:val="0"/>
          <w:marBottom w:val="0"/>
          <w:divBdr>
            <w:top w:val="none" w:sz="0" w:space="0" w:color="auto"/>
            <w:left w:val="none" w:sz="0" w:space="0" w:color="auto"/>
            <w:bottom w:val="none" w:sz="0" w:space="0" w:color="auto"/>
            <w:right w:val="none" w:sz="0" w:space="0" w:color="auto"/>
          </w:divBdr>
        </w:div>
      </w:divsChild>
    </w:div>
    <w:div w:id="1117021346">
      <w:bodyDiv w:val="1"/>
      <w:marLeft w:val="0"/>
      <w:marRight w:val="0"/>
      <w:marTop w:val="0"/>
      <w:marBottom w:val="0"/>
      <w:divBdr>
        <w:top w:val="none" w:sz="0" w:space="0" w:color="auto"/>
        <w:left w:val="none" w:sz="0" w:space="0" w:color="auto"/>
        <w:bottom w:val="none" w:sz="0" w:space="0" w:color="auto"/>
        <w:right w:val="none" w:sz="0" w:space="0" w:color="auto"/>
      </w:divBdr>
      <w:divsChild>
        <w:div w:id="248924666">
          <w:marLeft w:val="0"/>
          <w:marRight w:val="0"/>
          <w:marTop w:val="0"/>
          <w:marBottom w:val="0"/>
          <w:divBdr>
            <w:top w:val="none" w:sz="0" w:space="0" w:color="auto"/>
            <w:left w:val="none" w:sz="0" w:space="0" w:color="auto"/>
            <w:bottom w:val="none" w:sz="0" w:space="0" w:color="auto"/>
            <w:right w:val="none" w:sz="0" w:space="0" w:color="auto"/>
          </w:divBdr>
        </w:div>
        <w:div w:id="813063696">
          <w:marLeft w:val="0"/>
          <w:marRight w:val="0"/>
          <w:marTop w:val="0"/>
          <w:marBottom w:val="0"/>
          <w:divBdr>
            <w:top w:val="none" w:sz="0" w:space="0" w:color="auto"/>
            <w:left w:val="none" w:sz="0" w:space="0" w:color="auto"/>
            <w:bottom w:val="none" w:sz="0" w:space="0" w:color="auto"/>
            <w:right w:val="none" w:sz="0" w:space="0" w:color="auto"/>
          </w:divBdr>
        </w:div>
        <w:div w:id="980231636">
          <w:marLeft w:val="0"/>
          <w:marRight w:val="0"/>
          <w:marTop w:val="0"/>
          <w:marBottom w:val="0"/>
          <w:divBdr>
            <w:top w:val="none" w:sz="0" w:space="0" w:color="auto"/>
            <w:left w:val="none" w:sz="0" w:space="0" w:color="auto"/>
            <w:bottom w:val="none" w:sz="0" w:space="0" w:color="auto"/>
            <w:right w:val="none" w:sz="0" w:space="0" w:color="auto"/>
          </w:divBdr>
        </w:div>
      </w:divsChild>
    </w:div>
    <w:div w:id="1415738878">
      <w:bodyDiv w:val="1"/>
      <w:marLeft w:val="0"/>
      <w:marRight w:val="0"/>
      <w:marTop w:val="0"/>
      <w:marBottom w:val="0"/>
      <w:divBdr>
        <w:top w:val="none" w:sz="0" w:space="0" w:color="auto"/>
        <w:left w:val="none" w:sz="0" w:space="0" w:color="auto"/>
        <w:bottom w:val="none" w:sz="0" w:space="0" w:color="auto"/>
        <w:right w:val="none" w:sz="0" w:space="0" w:color="auto"/>
      </w:divBdr>
    </w:div>
    <w:div w:id="1737320269">
      <w:bodyDiv w:val="1"/>
      <w:marLeft w:val="0"/>
      <w:marRight w:val="0"/>
      <w:marTop w:val="0"/>
      <w:marBottom w:val="0"/>
      <w:divBdr>
        <w:top w:val="none" w:sz="0" w:space="0" w:color="auto"/>
        <w:left w:val="none" w:sz="0" w:space="0" w:color="auto"/>
        <w:bottom w:val="none" w:sz="0" w:space="0" w:color="auto"/>
        <w:right w:val="none" w:sz="0" w:space="0" w:color="auto"/>
      </w:divBdr>
    </w:div>
    <w:div w:id="1827892822">
      <w:bodyDiv w:val="1"/>
      <w:marLeft w:val="0"/>
      <w:marRight w:val="0"/>
      <w:marTop w:val="0"/>
      <w:marBottom w:val="0"/>
      <w:divBdr>
        <w:top w:val="none" w:sz="0" w:space="0" w:color="auto"/>
        <w:left w:val="none" w:sz="0" w:space="0" w:color="auto"/>
        <w:bottom w:val="none" w:sz="0" w:space="0" w:color="auto"/>
        <w:right w:val="none" w:sz="0" w:space="0" w:color="auto"/>
      </w:divBdr>
      <w:divsChild>
        <w:div w:id="146866332">
          <w:marLeft w:val="0"/>
          <w:marRight w:val="0"/>
          <w:marTop w:val="0"/>
          <w:marBottom w:val="0"/>
          <w:divBdr>
            <w:top w:val="none" w:sz="0" w:space="0" w:color="auto"/>
            <w:left w:val="none" w:sz="0" w:space="0" w:color="auto"/>
            <w:bottom w:val="none" w:sz="0" w:space="0" w:color="auto"/>
            <w:right w:val="none" w:sz="0" w:space="0" w:color="auto"/>
          </w:divBdr>
        </w:div>
        <w:div w:id="225069241">
          <w:marLeft w:val="0"/>
          <w:marRight w:val="0"/>
          <w:marTop w:val="0"/>
          <w:marBottom w:val="0"/>
          <w:divBdr>
            <w:top w:val="none" w:sz="0" w:space="0" w:color="auto"/>
            <w:left w:val="none" w:sz="0" w:space="0" w:color="auto"/>
            <w:bottom w:val="none" w:sz="0" w:space="0" w:color="auto"/>
            <w:right w:val="none" w:sz="0" w:space="0" w:color="auto"/>
          </w:divBdr>
        </w:div>
        <w:div w:id="7814549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4FC43883D2DB94180C59F0BF690DB5A" ma:contentTypeVersion="4" ma:contentTypeDescription="Create a new document." ma:contentTypeScope="" ma:versionID="0d86423f34f47a90d419f8fc6e9e02c9">
  <xsd:schema xmlns:xsd="http://www.w3.org/2001/XMLSchema" xmlns:xs="http://www.w3.org/2001/XMLSchema" xmlns:p="http://schemas.microsoft.com/office/2006/metadata/properties" xmlns:ns2="afc7a194-d8f4-457c-95cd-3dc168579a9e" targetNamespace="http://schemas.microsoft.com/office/2006/metadata/properties" ma:root="true" ma:fieldsID="ddcbaf7fba66493c2134b5c340978491" ns2:_="">
    <xsd:import namespace="afc7a194-d8f4-457c-95cd-3dc168579a9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7a194-d8f4-457c-95cd-3dc168579a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F72E11-CBDC-4FCD-9359-6BB40D8970F6}">
  <ds:schemaRefs>
    <ds:schemaRef ds:uri="http://schemas.openxmlformats.org/officeDocument/2006/bibliography"/>
  </ds:schemaRefs>
</ds:datastoreItem>
</file>

<file path=customXml/itemProps2.xml><?xml version="1.0" encoding="utf-8"?>
<ds:datastoreItem xmlns:ds="http://schemas.openxmlformats.org/officeDocument/2006/customXml" ds:itemID="{370B2B58-6485-459C-AB2D-ECC25CA8AD0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DF67658-630A-4649-8506-D00FDCD3C2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c7a194-d8f4-457c-95cd-3dc168579a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2DAA0CF-4A72-4EB0-AD30-95D310F170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9</Pages>
  <Words>2017</Words>
  <Characters>13137</Characters>
  <Application>Microsoft Office Word</Application>
  <DocSecurity>0</DocSecurity>
  <Lines>875</Lines>
  <Paragraphs>505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Metz, Kerri Ann</dc:creator>
  <cp:keywords/>
  <dc:description/>
  <cp:lastModifiedBy>Kerri</cp:lastModifiedBy>
  <cp:revision>3</cp:revision>
  <cp:lastPrinted>2021-02-08T18:58:00Z</cp:lastPrinted>
  <dcterms:created xsi:type="dcterms:W3CDTF">2021-02-12T14:22:00Z</dcterms:created>
  <dcterms:modified xsi:type="dcterms:W3CDTF">2021-02-12T15:26:00Z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0x010100F4FC43883D2DB94180C59F0BF690DB5A</vt:lpwstr>
  </property>
</Properties>
</file>